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36" w:rsidRDefault="00AD7736" w:rsidP="00AD7736">
      <w:pPr>
        <w:pStyle w:val="NormalWeb"/>
        <w:jc w:val="center"/>
        <w:outlineLvl w:val="4"/>
        <w:rPr>
          <w:b/>
          <w:bCs/>
          <w:color w:val="4BACC6" w:themeColor="accent5"/>
          <w:sz w:val="44"/>
          <w:szCs w:val="44"/>
        </w:rPr>
      </w:pPr>
      <w:r w:rsidRPr="00AD7736">
        <w:rPr>
          <w:b/>
          <w:bCs/>
          <w:color w:val="4BACC6" w:themeColor="accent5"/>
          <w:sz w:val="44"/>
          <w:szCs w:val="44"/>
        </w:rPr>
        <w:t>Avis d’appel d’offres international</w:t>
      </w:r>
    </w:p>
    <w:p w:rsidR="00AD7736" w:rsidRPr="00AD7736" w:rsidRDefault="00AD7736" w:rsidP="00AD7736">
      <w:pPr>
        <w:pStyle w:val="NormalWeb"/>
        <w:jc w:val="center"/>
        <w:outlineLvl w:val="4"/>
        <w:rPr>
          <w:b/>
          <w:bCs/>
          <w:color w:val="4BACC6" w:themeColor="accent5"/>
          <w:sz w:val="44"/>
          <w:szCs w:val="44"/>
        </w:rPr>
      </w:pPr>
    </w:p>
    <w:p w:rsidR="00852D78" w:rsidRPr="00AD7736" w:rsidRDefault="00AD7736" w:rsidP="00AD7736">
      <w:pPr>
        <w:pStyle w:val="NormalWeb"/>
        <w:jc w:val="both"/>
        <w:outlineLvl w:val="4"/>
        <w:rPr>
          <w:bCs/>
        </w:rPr>
      </w:pPr>
      <w:r w:rsidRPr="00AD7736">
        <w:rPr>
          <w:bCs/>
        </w:rPr>
        <w:t>La République du</w:t>
      </w:r>
      <w:r w:rsidR="00852D78" w:rsidRPr="00AD7736">
        <w:rPr>
          <w:bCs/>
        </w:rPr>
        <w:t xml:space="preserve"> Bénin a obtenu un don du Fonds </w:t>
      </w:r>
      <w:r w:rsidR="00852D78" w:rsidRPr="00AD7736">
        <w:rPr>
          <w:rStyle w:val="spipsurligne"/>
          <w:bCs/>
        </w:rPr>
        <w:t>pour</w:t>
      </w:r>
      <w:r w:rsidR="00852D78" w:rsidRPr="00AD7736">
        <w:rPr>
          <w:bCs/>
        </w:rPr>
        <w:t xml:space="preserve"> l’Environnement Mondial (FEM) </w:t>
      </w:r>
      <w:r w:rsidR="00852D78" w:rsidRPr="00AD7736">
        <w:rPr>
          <w:rStyle w:val="spipsurligne"/>
          <w:bCs/>
        </w:rPr>
        <w:t>pour</w:t>
      </w:r>
      <w:r w:rsidR="00852D78" w:rsidRPr="00AD7736">
        <w:rPr>
          <w:bCs/>
        </w:rPr>
        <w:t xml:space="preserve"> financer le coût du Projet électrification </w:t>
      </w:r>
      <w:r w:rsidR="00852D78" w:rsidRPr="00AD7736">
        <w:rPr>
          <w:rStyle w:val="spipsurligne"/>
          <w:bCs/>
        </w:rPr>
        <w:t>rurale</w:t>
      </w:r>
      <w:r w:rsidR="00852D78" w:rsidRPr="00AD7736">
        <w:rPr>
          <w:bCs/>
        </w:rPr>
        <w:t xml:space="preserve"> </w:t>
      </w:r>
      <w:r w:rsidR="00852D78" w:rsidRPr="00AD7736">
        <w:rPr>
          <w:rStyle w:val="spipsurligne"/>
          <w:bCs/>
        </w:rPr>
        <w:t>décentralisée</w:t>
      </w:r>
      <w:r w:rsidR="00852D78" w:rsidRPr="00AD7736">
        <w:rPr>
          <w:bCs/>
        </w:rPr>
        <w:t>.</w:t>
      </w:r>
    </w:p>
    <w:p w:rsidR="00852D78" w:rsidRDefault="00852D78" w:rsidP="00AD7736">
      <w:pPr>
        <w:pStyle w:val="NormalWeb"/>
        <w:outlineLvl w:val="2"/>
        <w:rPr>
          <w:b/>
          <w:bCs/>
          <w:sz w:val="36"/>
          <w:szCs w:val="36"/>
        </w:rPr>
      </w:pPr>
      <w:r>
        <w:rPr>
          <w:b/>
          <w:bCs/>
          <w:sz w:val="36"/>
          <w:szCs w:val="36"/>
        </w:rPr>
        <w:t xml:space="preserve">Projet : Projet d’électrification </w:t>
      </w:r>
      <w:r>
        <w:rPr>
          <w:rStyle w:val="spipsurligne"/>
          <w:b/>
          <w:bCs/>
          <w:sz w:val="36"/>
          <w:szCs w:val="36"/>
        </w:rPr>
        <w:t>rurale</w:t>
      </w:r>
      <w:r>
        <w:rPr>
          <w:b/>
          <w:bCs/>
          <w:sz w:val="36"/>
          <w:szCs w:val="36"/>
        </w:rPr>
        <w:t xml:space="preserve"> </w:t>
      </w:r>
      <w:r>
        <w:rPr>
          <w:rStyle w:val="spipsurligne"/>
          <w:b/>
          <w:bCs/>
          <w:sz w:val="36"/>
          <w:szCs w:val="36"/>
        </w:rPr>
        <w:t>décentralisée</w:t>
      </w:r>
      <w:r>
        <w:rPr>
          <w:b/>
          <w:bCs/>
          <w:sz w:val="36"/>
          <w:szCs w:val="36"/>
        </w:rPr>
        <w:t xml:space="preserve"> </w:t>
      </w:r>
      <w:r>
        <w:rPr>
          <w:b/>
          <w:bCs/>
          <w:sz w:val="36"/>
          <w:szCs w:val="36"/>
        </w:rPr>
        <w:br/>
        <w:t xml:space="preserve">Bailleur : La Banque mondiale </w:t>
      </w:r>
      <w:r>
        <w:rPr>
          <w:b/>
          <w:bCs/>
          <w:sz w:val="36"/>
          <w:szCs w:val="36"/>
        </w:rPr>
        <w:br/>
        <w:t xml:space="preserve">Résumé : Acquisition de système hybride d’électrification </w:t>
      </w:r>
      <w:r>
        <w:rPr>
          <w:rStyle w:val="spipsurligne"/>
          <w:b/>
          <w:bCs/>
          <w:sz w:val="36"/>
          <w:szCs w:val="36"/>
        </w:rPr>
        <w:t>rurale</w:t>
      </w:r>
      <w:r>
        <w:rPr>
          <w:b/>
          <w:bCs/>
          <w:sz w:val="36"/>
          <w:szCs w:val="36"/>
        </w:rPr>
        <w:t xml:space="preserve"> de </w:t>
      </w:r>
      <w:proofErr w:type="spellStart"/>
      <w:r>
        <w:rPr>
          <w:b/>
          <w:bCs/>
          <w:sz w:val="36"/>
          <w:szCs w:val="36"/>
        </w:rPr>
        <w:t>Bantè</w:t>
      </w:r>
      <w:proofErr w:type="spellEnd"/>
      <w:r w:rsidR="00AD7736">
        <w:rPr>
          <w:b/>
          <w:bCs/>
          <w:sz w:val="36"/>
          <w:szCs w:val="36"/>
        </w:rPr>
        <w:t>.</w:t>
      </w:r>
      <w:r>
        <w:rPr>
          <w:b/>
          <w:bCs/>
          <w:sz w:val="36"/>
          <w:szCs w:val="36"/>
        </w:rPr>
        <w:t xml:space="preserve"> </w:t>
      </w:r>
      <w:r>
        <w:rPr>
          <w:b/>
          <w:bCs/>
          <w:sz w:val="36"/>
          <w:szCs w:val="36"/>
        </w:rPr>
        <w:br/>
        <w:t xml:space="preserve">Référence : Don du FEM No. 51249, Crédit No. 3586-BJ, Project ID P074288 </w:t>
      </w:r>
      <w:r>
        <w:rPr>
          <w:b/>
          <w:bCs/>
          <w:sz w:val="36"/>
          <w:szCs w:val="36"/>
        </w:rPr>
        <w:br/>
        <w:t>Date limite de dépôt : 23 novembre 2012</w:t>
      </w:r>
    </w:p>
    <w:p w:rsidR="00852D78" w:rsidRDefault="00852D78" w:rsidP="00AD7736">
      <w:pPr>
        <w:pStyle w:val="NormalWeb"/>
        <w:jc w:val="both"/>
      </w:pPr>
      <w:r>
        <w:t xml:space="preserve">Ce fonds du FEM sert notamment à financer, à travers le Fonds d’électrification </w:t>
      </w:r>
      <w:r>
        <w:rPr>
          <w:rStyle w:val="spipsurligne"/>
        </w:rPr>
        <w:t>rurale</w:t>
      </w:r>
      <w:r>
        <w:t xml:space="preserve"> </w:t>
      </w:r>
      <w:r>
        <w:rPr>
          <w:rStyle w:val="spipsurligne"/>
        </w:rPr>
        <w:t>décentralisée</w:t>
      </w:r>
      <w:r>
        <w:t xml:space="preserve"> (FERD), une partie des coûts d’investissement des sous-projets d’électrification basés sur les énergies renouvelables, entrepris par les opérateurs privés d’électrification </w:t>
      </w:r>
      <w:r>
        <w:rPr>
          <w:rStyle w:val="spipsurligne"/>
        </w:rPr>
        <w:t>rurale</w:t>
      </w:r>
      <w:r>
        <w:t xml:space="preserve"> </w:t>
      </w:r>
      <w:r>
        <w:rPr>
          <w:rStyle w:val="spipsurligne"/>
        </w:rPr>
        <w:t>décentralisée</w:t>
      </w:r>
      <w:r>
        <w:t xml:space="preserve"> (OPERD).</w:t>
      </w:r>
    </w:p>
    <w:p w:rsidR="00852D78" w:rsidRDefault="00852D78" w:rsidP="00AD7736">
      <w:pPr>
        <w:pStyle w:val="NormalWeb"/>
        <w:jc w:val="both"/>
      </w:pPr>
      <w:r>
        <w:t xml:space="preserve">La République du Bénin à travers les OPERD titulaires des concessions de fourniture du service électrique dans le chef-lieu de la Communauté </w:t>
      </w:r>
      <w:r>
        <w:rPr>
          <w:rStyle w:val="spipsurligne"/>
        </w:rPr>
        <w:t>rurale</w:t>
      </w:r>
      <w:r>
        <w:t xml:space="preserve"> de développement (CRD) de </w:t>
      </w:r>
      <w:proofErr w:type="spellStart"/>
      <w:r>
        <w:t>Bantè</w:t>
      </w:r>
      <w:proofErr w:type="spellEnd"/>
      <w:r>
        <w:t xml:space="preserve">, dans le département des Collines, se propose d’utiliser une partie du montant de ce don </w:t>
      </w:r>
      <w:r>
        <w:rPr>
          <w:rStyle w:val="spipsurligne"/>
        </w:rPr>
        <w:t>pour</w:t>
      </w:r>
      <w:r>
        <w:t xml:space="preserve"> effectuer les paiements autorisés au titre du marché d’acquisition de système hybride d’électrification </w:t>
      </w:r>
      <w:r>
        <w:rPr>
          <w:rStyle w:val="spipsurligne"/>
        </w:rPr>
        <w:t>rurale</w:t>
      </w:r>
      <w:r>
        <w:t xml:space="preserve"> </w:t>
      </w:r>
      <w:r>
        <w:rPr>
          <w:rStyle w:val="spipsurligne"/>
        </w:rPr>
        <w:t>décentralisée</w:t>
      </w:r>
      <w:r>
        <w:t xml:space="preserve"> en deux (2) lots distincts :</w:t>
      </w:r>
    </w:p>
    <w:p w:rsidR="00852D78" w:rsidRDefault="00852D78" w:rsidP="00AD7736">
      <w:pPr>
        <w:pStyle w:val="NormalWeb"/>
      </w:pPr>
      <w:r>
        <w:rPr>
          <w:noProof/>
        </w:rPr>
        <w:drawing>
          <wp:inline distT="0" distB="0" distL="0" distR="0">
            <wp:extent cx="76200" cy="104775"/>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76200" cy="104775"/>
                    </a:xfrm>
                    <a:prstGeom prst="rect">
                      <a:avLst/>
                    </a:prstGeom>
                    <a:noFill/>
                    <a:ln w="9525">
                      <a:noFill/>
                      <a:miter lim="800000"/>
                      <a:headEnd/>
                      <a:tailEnd/>
                    </a:ln>
                  </pic:spPr>
                </pic:pic>
              </a:graphicData>
            </a:graphic>
          </wp:inline>
        </w:drawing>
      </w:r>
      <w:r>
        <w:t xml:space="preserve"> Lot 1 : Centrale hydroélectrique </w:t>
      </w:r>
      <w:r>
        <w:br/>
      </w:r>
      <w:r>
        <w:rPr>
          <w:noProof/>
        </w:rPr>
        <w:drawing>
          <wp:inline distT="0" distB="0" distL="0" distR="0">
            <wp:extent cx="76200" cy="104775"/>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srcRect/>
                    <a:stretch>
                      <a:fillRect/>
                    </a:stretch>
                  </pic:blipFill>
                  <pic:spPr bwMode="auto">
                    <a:xfrm>
                      <a:off x="0" y="0"/>
                      <a:ext cx="76200" cy="104775"/>
                    </a:xfrm>
                    <a:prstGeom prst="rect">
                      <a:avLst/>
                    </a:prstGeom>
                    <a:noFill/>
                    <a:ln w="9525">
                      <a:noFill/>
                      <a:miter lim="800000"/>
                      <a:headEnd/>
                      <a:tailEnd/>
                    </a:ln>
                  </pic:spPr>
                </pic:pic>
              </a:graphicData>
            </a:graphic>
          </wp:inline>
        </w:drawing>
      </w:r>
      <w:r>
        <w:t> Lot 2 : Micro-réseau de distribution</w:t>
      </w:r>
    </w:p>
    <w:p w:rsidR="00852D78" w:rsidRDefault="00852D78" w:rsidP="00AD7736">
      <w:pPr>
        <w:pStyle w:val="NormalWeb"/>
        <w:jc w:val="both"/>
      </w:pPr>
      <w:r>
        <w:t xml:space="preserve">Chaque lot est indivisible et les soumissionnaires ont la possibilité de postuler </w:t>
      </w:r>
      <w:r>
        <w:rPr>
          <w:rStyle w:val="spipsurligne"/>
        </w:rPr>
        <w:t>pour</w:t>
      </w:r>
      <w:r>
        <w:t xml:space="preserve"> un ou l’ensemble des 2 lots.</w:t>
      </w:r>
    </w:p>
    <w:p w:rsidR="00852D78" w:rsidRDefault="00852D78" w:rsidP="00AD7736">
      <w:pPr>
        <w:pStyle w:val="NormalWeb"/>
        <w:jc w:val="both"/>
      </w:pPr>
      <w:r>
        <w:t xml:space="preserve">L’OPERD de la localité concernée, appuyé par le Bureau d’électrification </w:t>
      </w:r>
      <w:r>
        <w:rPr>
          <w:rStyle w:val="spipsurligne"/>
        </w:rPr>
        <w:t>rurale</w:t>
      </w:r>
      <w:r>
        <w:t xml:space="preserve"> </w:t>
      </w:r>
      <w:r>
        <w:rPr>
          <w:rStyle w:val="spipsurligne"/>
        </w:rPr>
        <w:t>décentralisée</w:t>
      </w:r>
      <w:r>
        <w:t xml:space="preserve"> (BERD), invite par le présent </w:t>
      </w:r>
      <w:r>
        <w:rPr>
          <w:rStyle w:val="spipsurligne"/>
        </w:rPr>
        <w:t>appel</w:t>
      </w:r>
      <w:r>
        <w:t xml:space="preserve"> </w:t>
      </w:r>
      <w:r>
        <w:rPr>
          <w:rStyle w:val="spipsurligne"/>
        </w:rPr>
        <w:t>d’offres</w:t>
      </w:r>
      <w:r>
        <w:t xml:space="preserve"> les soumissionnaires éligibles à présenter leurs offres sous plis fermés </w:t>
      </w:r>
      <w:r>
        <w:rPr>
          <w:rStyle w:val="spipsurligne"/>
        </w:rPr>
        <w:t>pour</w:t>
      </w:r>
      <w:r>
        <w:t xml:space="preserve"> les fournitures décrites dans le dossier d’</w:t>
      </w:r>
      <w:r>
        <w:rPr>
          <w:rStyle w:val="spipsurligne"/>
        </w:rPr>
        <w:t>appel</w:t>
      </w:r>
      <w:r>
        <w:t xml:space="preserve"> </w:t>
      </w:r>
      <w:r>
        <w:rPr>
          <w:rStyle w:val="spipsurligne"/>
        </w:rPr>
        <w:t>d’offres</w:t>
      </w:r>
      <w:r>
        <w:t xml:space="preserve"> (DAO). L’</w:t>
      </w:r>
      <w:r>
        <w:rPr>
          <w:rStyle w:val="spipsurligne"/>
        </w:rPr>
        <w:t>appel</w:t>
      </w:r>
      <w:r>
        <w:t xml:space="preserve"> </w:t>
      </w:r>
      <w:r>
        <w:rPr>
          <w:rStyle w:val="spipsurligne"/>
        </w:rPr>
        <w:t>d’Offres</w:t>
      </w:r>
      <w:r>
        <w:t xml:space="preserve"> se déroulera conformément aux procédures d’</w:t>
      </w:r>
      <w:r>
        <w:rPr>
          <w:rStyle w:val="spipsurligne"/>
        </w:rPr>
        <w:t>Appel</w:t>
      </w:r>
      <w:r>
        <w:t xml:space="preserve"> </w:t>
      </w:r>
      <w:r>
        <w:rPr>
          <w:rStyle w:val="spipsurligne"/>
        </w:rPr>
        <w:t>d’Offres</w:t>
      </w:r>
      <w:r>
        <w:t xml:space="preserve"> International spécifiées dans la publication des Directives : Passation des marchés financés par les prêts de la BIRD et les crédits de l’IDA de mai 2009, et est ouvert à tous les soumissionnaires des pays qui répondent aux critères d’éligibilité tels que définis dans le DAO.</w:t>
      </w:r>
    </w:p>
    <w:p w:rsidR="00852D78" w:rsidRDefault="00852D78" w:rsidP="00AD7736">
      <w:pPr>
        <w:pStyle w:val="NormalWeb"/>
        <w:jc w:val="both"/>
      </w:pPr>
      <w:r>
        <w:t>Les soumissionnaires intéressés éligibles peuvent obtenir de plus amples renseignements auprès du BERD et examiner le dossier d’</w:t>
      </w:r>
      <w:r>
        <w:rPr>
          <w:rStyle w:val="spipsurligne"/>
        </w:rPr>
        <w:t>appel</w:t>
      </w:r>
      <w:r>
        <w:t xml:space="preserve"> </w:t>
      </w:r>
      <w:r>
        <w:rPr>
          <w:rStyle w:val="spipsurligne"/>
        </w:rPr>
        <w:t>d’offres</w:t>
      </w:r>
      <w:r>
        <w:t xml:space="preserve"> à l’adresse ci-dessous à partir du 23 octobre 2012.</w:t>
      </w:r>
    </w:p>
    <w:p w:rsidR="00852D78" w:rsidRDefault="00852D78" w:rsidP="00AD7736">
      <w:pPr>
        <w:pStyle w:val="NormalWeb"/>
        <w:jc w:val="both"/>
      </w:pPr>
      <w:r>
        <w:t>Les exigences en matière de qualifications sont :</w:t>
      </w:r>
    </w:p>
    <w:p w:rsidR="00852D78" w:rsidRDefault="00852D78" w:rsidP="00AD7736">
      <w:pPr>
        <w:pStyle w:val="NormalWeb"/>
        <w:jc w:val="both"/>
      </w:pPr>
      <w:r>
        <w:rPr>
          <w:rStyle w:val="lev"/>
        </w:rPr>
        <w:lastRenderedPageBreak/>
        <w:t>a) capacité financière</w:t>
      </w:r>
    </w:p>
    <w:p w:rsidR="00852D78" w:rsidRDefault="00852D78" w:rsidP="00AD7736">
      <w:pPr>
        <w:pStyle w:val="NormalWeb"/>
        <w:jc w:val="both"/>
      </w:pPr>
      <w:r>
        <w:t>Le soumissionnaire doit disposer d’un montant minimum de liquidités et /ou de facilités de crédit net d’autres engagements contractuels de :</w:t>
      </w:r>
    </w:p>
    <w:p w:rsidR="00852D78" w:rsidRDefault="00852D78" w:rsidP="00AD7736">
      <w:pPr>
        <w:pStyle w:val="NormalWeb"/>
        <w:jc w:val="both"/>
      </w:pPr>
      <w:r>
        <w:rPr>
          <w:noProof/>
        </w:rPr>
        <w:drawing>
          <wp:inline distT="0" distB="0" distL="0" distR="0">
            <wp:extent cx="76200" cy="104775"/>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srcRect/>
                    <a:stretch>
                      <a:fillRect/>
                    </a:stretch>
                  </pic:blipFill>
                  <pic:spPr bwMode="auto">
                    <a:xfrm>
                      <a:off x="0" y="0"/>
                      <a:ext cx="76200" cy="104775"/>
                    </a:xfrm>
                    <a:prstGeom prst="rect">
                      <a:avLst/>
                    </a:prstGeom>
                    <a:noFill/>
                    <a:ln w="9525">
                      <a:noFill/>
                      <a:miter lim="800000"/>
                      <a:headEnd/>
                      <a:tailEnd/>
                    </a:ln>
                  </pic:spPr>
                </pic:pic>
              </a:graphicData>
            </a:graphic>
          </wp:inline>
        </w:drawing>
      </w:r>
      <w:r>
        <w:t> </w:t>
      </w:r>
      <w:r>
        <w:rPr>
          <w:rStyle w:val="spipsurligne"/>
        </w:rPr>
        <w:t>Pour</w:t>
      </w:r>
      <w:r>
        <w:t xml:space="preserve"> le lot 1 : 100.000.000 de F CFA ou équivalent en monnaie convertible </w:t>
      </w:r>
      <w:r>
        <w:br/>
      </w:r>
      <w:r>
        <w:rPr>
          <w:noProof/>
        </w:rPr>
        <w:drawing>
          <wp:inline distT="0" distB="0" distL="0" distR="0">
            <wp:extent cx="76200" cy="104775"/>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srcRect/>
                    <a:stretch>
                      <a:fillRect/>
                    </a:stretch>
                  </pic:blipFill>
                  <pic:spPr bwMode="auto">
                    <a:xfrm>
                      <a:off x="0" y="0"/>
                      <a:ext cx="76200" cy="104775"/>
                    </a:xfrm>
                    <a:prstGeom prst="rect">
                      <a:avLst/>
                    </a:prstGeom>
                    <a:noFill/>
                    <a:ln w="9525">
                      <a:noFill/>
                      <a:miter lim="800000"/>
                      <a:headEnd/>
                      <a:tailEnd/>
                    </a:ln>
                  </pic:spPr>
                </pic:pic>
              </a:graphicData>
            </a:graphic>
          </wp:inline>
        </w:drawing>
      </w:r>
      <w:r>
        <w:t> </w:t>
      </w:r>
      <w:r>
        <w:rPr>
          <w:rStyle w:val="spipsurligne"/>
        </w:rPr>
        <w:t>Pour</w:t>
      </w:r>
      <w:r>
        <w:t xml:space="preserve"> le lot 2 : 26.520.000 de F CFA ou équivalent en monnaie convertible</w:t>
      </w:r>
    </w:p>
    <w:p w:rsidR="00852D78" w:rsidRDefault="00852D78" w:rsidP="00AD7736">
      <w:pPr>
        <w:pStyle w:val="NormalWeb"/>
        <w:jc w:val="both"/>
      </w:pPr>
      <w:r>
        <w:rPr>
          <w:rStyle w:val="lev"/>
        </w:rPr>
        <w:t>b) capacité technique et expérience</w:t>
      </w:r>
    </w:p>
    <w:p w:rsidR="00852D78" w:rsidRDefault="00852D78" w:rsidP="00AD7736">
      <w:pPr>
        <w:pStyle w:val="NormalWeb"/>
        <w:jc w:val="both"/>
      </w:pPr>
      <w:r>
        <w:t>Le Soumissionnaire doit prouver, documentation à l’appui, qu’il satisfait aux exigences de capacité technique ci-après :</w:t>
      </w:r>
    </w:p>
    <w:p w:rsidR="00852D78" w:rsidRDefault="00852D78" w:rsidP="00AD7736">
      <w:pPr>
        <w:pStyle w:val="NormalWeb"/>
        <w:jc w:val="both"/>
      </w:pPr>
      <w:r>
        <w:t>i. Avoir conduit avec satisfaction au moins trois marchés similaires durant les 3 dernières années dans le domaine des fournitures et travaux concernés ;</w:t>
      </w:r>
    </w:p>
    <w:p w:rsidR="00852D78" w:rsidRDefault="00852D78" w:rsidP="00AD7736">
      <w:pPr>
        <w:pStyle w:val="NormalWeb"/>
        <w:jc w:val="both"/>
      </w:pPr>
      <w:r>
        <w:t xml:space="preserve">ii. Justifier soit par un document administratif l’existence légale au Bénin ou en Afrique de l’Ouest d’un partenariat avec une PME locale capable de faire le service après vente (magasin de pièces détachées) fonctionnel/opérationnel dont la commission technique d’évaluation des offres </w:t>
      </w:r>
      <w:r>
        <w:rPr>
          <w:rStyle w:val="spipsurligne"/>
        </w:rPr>
        <w:t>pourrait</w:t>
      </w:r>
      <w:r>
        <w:t xml:space="preserve"> vérifier l’existence, soit fournir un engagement écrit d’un tel partenariat dans le cas ou il est attributaire d’un tel marché.</w:t>
      </w:r>
    </w:p>
    <w:p w:rsidR="00852D78" w:rsidRDefault="00852D78" w:rsidP="00AD7736">
      <w:pPr>
        <w:pStyle w:val="NormalWeb"/>
        <w:jc w:val="both"/>
      </w:pPr>
      <w:r>
        <w:t>Les soumissionnaires intéressés peuvent obtenir un DAO complet en français contre paiement non remboursable d’un montant de 150 000 F CFA ou dans une monnaie librement convertible. Le document d’</w:t>
      </w:r>
      <w:r>
        <w:rPr>
          <w:rStyle w:val="spipsurligne"/>
        </w:rPr>
        <w:t>appel</w:t>
      </w:r>
      <w:r>
        <w:t xml:space="preserve"> </w:t>
      </w:r>
      <w:r>
        <w:rPr>
          <w:rStyle w:val="spipsurligne"/>
        </w:rPr>
        <w:t>d’offres</w:t>
      </w:r>
      <w:r>
        <w:t xml:space="preserve"> sera retiré par le soumissionnaire lui-même ou son représentant soit au siège du BERD ou par courriel en version électronique. Les soumissionnaires devront exprimer les montants de leurs offres, toutes taxes comprises et également hors taxes.</w:t>
      </w:r>
    </w:p>
    <w:p w:rsidR="00852D78" w:rsidRDefault="00852D78" w:rsidP="00AD7736">
      <w:pPr>
        <w:pStyle w:val="NormalWeb"/>
        <w:jc w:val="both"/>
      </w:pPr>
      <w:r>
        <w:t xml:space="preserve">Les soumissions devront être déposées à l’adresse ci-dessous au plus tard le </w:t>
      </w:r>
      <w:r>
        <w:rPr>
          <w:rStyle w:val="lev"/>
        </w:rPr>
        <w:t>23 novembre 2012 à 10 heures</w:t>
      </w:r>
      <w:r>
        <w:t xml:space="preserve">. Les dépôts électroniques sont également admis. Les soumissions présentées hors délais seront rejetées. Les soumissions seront ouvertes physiquement en présence des représentants des soumissionnaires qui souhaitent y assister au siège du BERD à la Villa 30, Cité des </w:t>
      </w:r>
      <w:r w:rsidR="003763FB">
        <w:t>Rois en face de l’hôtel les Canaris</w:t>
      </w:r>
      <w:r>
        <w:t xml:space="preserve">, </w:t>
      </w:r>
      <w:r w:rsidR="003763FB">
        <w:t>Savalou</w:t>
      </w:r>
      <w:r w:rsidR="00AD7736">
        <w:t>, République du Bénin</w:t>
      </w:r>
      <w:r>
        <w:t xml:space="preserve">, le 23 </w:t>
      </w:r>
      <w:r w:rsidR="00AD7736">
        <w:t>novembre</w:t>
      </w:r>
      <w:r>
        <w:t xml:space="preserve"> 20</w:t>
      </w:r>
      <w:r w:rsidR="00AD7736">
        <w:t>12</w:t>
      </w:r>
      <w:r>
        <w:t xml:space="preserve"> à 10 h 30.</w:t>
      </w:r>
    </w:p>
    <w:p w:rsidR="00852D78" w:rsidRDefault="00852D78" w:rsidP="00AD7736">
      <w:pPr>
        <w:pStyle w:val="NormalWeb"/>
        <w:jc w:val="both"/>
      </w:pPr>
      <w:r>
        <w:t xml:space="preserve">Toutes les soumissions doivent être valides </w:t>
      </w:r>
      <w:r>
        <w:rPr>
          <w:rStyle w:val="spipsurligne"/>
        </w:rPr>
        <w:t>pour</w:t>
      </w:r>
      <w:r>
        <w:t xml:space="preserve"> une période de 90 jours et accompagnées d’une garantie de soumission </w:t>
      </w:r>
      <w:r>
        <w:rPr>
          <w:rStyle w:val="spipsurligne"/>
        </w:rPr>
        <w:t>pour</w:t>
      </w:r>
      <w:r>
        <w:t xml:space="preserve"> un montant de :</w:t>
      </w:r>
    </w:p>
    <w:p w:rsidR="00852D78" w:rsidRDefault="00852D78" w:rsidP="00852D78">
      <w:pPr>
        <w:pStyle w:val="NormalWeb"/>
      </w:pPr>
      <w:r>
        <w:rPr>
          <w:noProof/>
        </w:rPr>
        <w:drawing>
          <wp:inline distT="0" distB="0" distL="0" distR="0">
            <wp:extent cx="76200" cy="104775"/>
            <wp:effectExtent l="1905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srcRect/>
                    <a:stretch>
                      <a:fillRect/>
                    </a:stretch>
                  </pic:blipFill>
                  <pic:spPr bwMode="auto">
                    <a:xfrm>
                      <a:off x="0" y="0"/>
                      <a:ext cx="76200" cy="104775"/>
                    </a:xfrm>
                    <a:prstGeom prst="rect">
                      <a:avLst/>
                    </a:prstGeom>
                    <a:noFill/>
                    <a:ln w="9525">
                      <a:noFill/>
                      <a:miter lim="800000"/>
                      <a:headEnd/>
                      <a:tailEnd/>
                    </a:ln>
                  </pic:spPr>
                </pic:pic>
              </a:graphicData>
            </a:graphic>
          </wp:inline>
        </w:drawing>
      </w:r>
      <w:r>
        <w:t> </w:t>
      </w:r>
      <w:r>
        <w:rPr>
          <w:rStyle w:val="spipsurligne"/>
        </w:rPr>
        <w:t>Pour</w:t>
      </w:r>
      <w:r>
        <w:t xml:space="preserve"> le lot 1 : 3 000 </w:t>
      </w:r>
      <w:proofErr w:type="spellStart"/>
      <w:r>
        <w:t>000</w:t>
      </w:r>
      <w:proofErr w:type="spellEnd"/>
      <w:r>
        <w:t xml:space="preserve"> F</w:t>
      </w:r>
      <w:r w:rsidR="00AD7736">
        <w:t xml:space="preserve"> CFA</w:t>
      </w:r>
      <w:r>
        <w:t xml:space="preserve"> ou équivalent en monnaie convertible </w:t>
      </w:r>
      <w:r>
        <w:br/>
      </w:r>
      <w:r>
        <w:rPr>
          <w:noProof/>
        </w:rPr>
        <w:drawing>
          <wp:inline distT="0" distB="0" distL="0" distR="0">
            <wp:extent cx="76200" cy="104775"/>
            <wp:effectExtent l="1905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srcRect/>
                    <a:stretch>
                      <a:fillRect/>
                    </a:stretch>
                  </pic:blipFill>
                  <pic:spPr bwMode="auto">
                    <a:xfrm>
                      <a:off x="0" y="0"/>
                      <a:ext cx="76200" cy="104775"/>
                    </a:xfrm>
                    <a:prstGeom prst="rect">
                      <a:avLst/>
                    </a:prstGeom>
                    <a:noFill/>
                    <a:ln w="9525">
                      <a:noFill/>
                      <a:miter lim="800000"/>
                      <a:headEnd/>
                      <a:tailEnd/>
                    </a:ln>
                  </pic:spPr>
                </pic:pic>
              </a:graphicData>
            </a:graphic>
          </wp:inline>
        </w:drawing>
      </w:r>
      <w:r>
        <w:t> </w:t>
      </w:r>
      <w:r>
        <w:rPr>
          <w:rStyle w:val="spipsurligne"/>
        </w:rPr>
        <w:t>Pour</w:t>
      </w:r>
      <w:r w:rsidR="00AD7736">
        <w:t xml:space="preserve"> le lot 2 : 7</w:t>
      </w:r>
      <w:r>
        <w:t>95</w:t>
      </w:r>
      <w:r w:rsidR="00AD7736">
        <w:t xml:space="preserve"> </w:t>
      </w:r>
      <w:r>
        <w:t>600 F</w:t>
      </w:r>
      <w:r w:rsidR="00AD7736">
        <w:t xml:space="preserve"> CFA</w:t>
      </w:r>
      <w:r>
        <w:t xml:space="preserve"> ou équivalent en monnaie convertible</w:t>
      </w:r>
    </w:p>
    <w:p w:rsidR="00852D78" w:rsidRDefault="00852D78" w:rsidP="00852D78">
      <w:pPr>
        <w:pStyle w:val="NormalWeb"/>
      </w:pPr>
      <w:r>
        <w:rPr>
          <w:rStyle w:val="lev"/>
        </w:rPr>
        <w:t>Contact</w:t>
      </w:r>
      <w:r>
        <w:t xml:space="preserve"> : BERD - Bureau d’électrification </w:t>
      </w:r>
      <w:r>
        <w:rPr>
          <w:rStyle w:val="spipsurligne"/>
        </w:rPr>
        <w:t>rurale</w:t>
      </w:r>
      <w:r>
        <w:t xml:space="preserve"> </w:t>
      </w:r>
      <w:r>
        <w:rPr>
          <w:rStyle w:val="spipsurligne"/>
        </w:rPr>
        <w:t>décentralisée</w:t>
      </w:r>
      <w:r>
        <w:t xml:space="preserve">. </w:t>
      </w:r>
      <w:r>
        <w:br/>
      </w:r>
      <w:r w:rsidR="003763FB">
        <w:t xml:space="preserve">Villa 30, Cité des Rois en face de l’hôtel les Canaris, Savalou, République du Bénin. </w:t>
      </w:r>
      <w:r w:rsidR="003763FB">
        <w:br/>
        <w:t xml:space="preserve">BP </w:t>
      </w:r>
      <w:r>
        <w:t xml:space="preserve">186. </w:t>
      </w:r>
      <w:r>
        <w:br/>
      </w:r>
      <w:r w:rsidR="003763FB">
        <w:t>Savalou</w:t>
      </w:r>
      <w:r>
        <w:t xml:space="preserve">, </w:t>
      </w:r>
      <w:r w:rsidR="00AD7736">
        <w:t>Bénin</w:t>
      </w:r>
      <w:r>
        <w:t xml:space="preserve">. </w:t>
      </w:r>
      <w:r>
        <w:br/>
        <w:t>Tél : (22</w:t>
      </w:r>
      <w:r w:rsidR="00AD7736">
        <w:t>9</w:t>
      </w:r>
      <w:r>
        <w:t>-</w:t>
      </w:r>
      <w:r w:rsidR="00AD7736">
        <w:t>21</w:t>
      </w:r>
      <w:r>
        <w:t xml:space="preserve">) </w:t>
      </w:r>
      <w:r w:rsidR="00AD7736">
        <w:t xml:space="preserve">15 </w:t>
      </w:r>
      <w:r>
        <w:t>-</w:t>
      </w:r>
      <w:r w:rsidR="00AD7736">
        <w:t>89 08</w:t>
      </w:r>
      <w:r>
        <w:t xml:space="preserve">. </w:t>
      </w:r>
      <w:r w:rsidR="003763FB">
        <w:t>/ 94 34 92 49</w:t>
      </w:r>
      <w:r>
        <w:br/>
        <w:t>E-mail :</w:t>
      </w:r>
      <w:r w:rsidR="00AD7736">
        <w:t xml:space="preserve"> </w:t>
      </w:r>
      <w:hyperlink r:id="rId5" w:history="1">
        <w:r w:rsidR="00AD7736" w:rsidRPr="00601BCD">
          <w:rPr>
            <w:rStyle w:val="Lienhypertexte"/>
          </w:rPr>
          <w:t>secretariat.perd2011@gmail.com</w:t>
        </w:r>
      </w:hyperlink>
    </w:p>
    <w:p w:rsidR="008412C8" w:rsidRDefault="008412C8"/>
    <w:sectPr w:rsidR="008412C8" w:rsidSect="008412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2D78"/>
    <w:rsid w:val="003763FB"/>
    <w:rsid w:val="008412C8"/>
    <w:rsid w:val="00852D78"/>
    <w:rsid w:val="00AD77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52D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ipsurligne">
    <w:name w:val="spip_surligne"/>
    <w:basedOn w:val="Policepardfaut"/>
    <w:rsid w:val="00852D78"/>
  </w:style>
  <w:style w:type="character" w:styleId="lev">
    <w:name w:val="Strong"/>
    <w:basedOn w:val="Policepardfaut"/>
    <w:uiPriority w:val="22"/>
    <w:qFormat/>
    <w:rsid w:val="00852D78"/>
    <w:rPr>
      <w:b/>
      <w:bCs/>
    </w:rPr>
  </w:style>
  <w:style w:type="paragraph" w:styleId="Textedebulles">
    <w:name w:val="Balloon Text"/>
    <w:basedOn w:val="Normal"/>
    <w:link w:val="TextedebullesCar"/>
    <w:uiPriority w:val="99"/>
    <w:semiHidden/>
    <w:unhideWhenUsed/>
    <w:rsid w:val="00852D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2D78"/>
    <w:rPr>
      <w:rFonts w:ascii="Tahoma" w:hAnsi="Tahoma" w:cs="Tahoma"/>
      <w:sz w:val="16"/>
      <w:szCs w:val="16"/>
    </w:rPr>
  </w:style>
  <w:style w:type="character" w:styleId="Lienhypertexte">
    <w:name w:val="Hyperlink"/>
    <w:basedOn w:val="Policepardfaut"/>
    <w:uiPriority w:val="99"/>
    <w:unhideWhenUsed/>
    <w:rsid w:val="00AD77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7627927">
      <w:bodyDiv w:val="1"/>
      <w:marLeft w:val="0"/>
      <w:marRight w:val="0"/>
      <w:marTop w:val="0"/>
      <w:marBottom w:val="0"/>
      <w:divBdr>
        <w:top w:val="none" w:sz="0" w:space="0" w:color="auto"/>
        <w:left w:val="none" w:sz="0" w:space="0" w:color="auto"/>
        <w:bottom w:val="none" w:sz="0" w:space="0" w:color="auto"/>
        <w:right w:val="none" w:sz="0" w:space="0" w:color="auto"/>
      </w:divBdr>
      <w:divsChild>
        <w:div w:id="366951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iat.perd2011@gmail.com" TargetMode="Externa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744</Words>
  <Characters>4093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 HM</dc:creator>
  <cp:keywords/>
  <dc:description/>
  <cp:lastModifiedBy>CYBER HM</cp:lastModifiedBy>
  <cp:revision>2</cp:revision>
  <dcterms:created xsi:type="dcterms:W3CDTF">2012-10-25T16:35:00Z</dcterms:created>
  <dcterms:modified xsi:type="dcterms:W3CDTF">2012-10-25T17:13:00Z</dcterms:modified>
</cp:coreProperties>
</file>