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62" w:type="dxa"/>
        <w:tblCellSpacing w:w="15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3371"/>
        <w:gridCol w:w="5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名称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  <w:lang w:val="en-US" w:eastAsia="zh-CN" w:bidi="ar"/>
              </w:rPr>
              <w:t>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产品名称</w:t>
            </w:r>
          </w:p>
        </w:tc>
        <w:tc>
          <w:tcPr>
            <w:tcW w:w="5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  <w:lang w:val="en-US" w:eastAsia="zh-CN" w:bidi="ar"/>
              </w:rPr>
              <w:t>金属液压切割机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工厂名称</w:t>
            </w:r>
          </w:p>
        </w:tc>
        <w:tc>
          <w:tcPr>
            <w:tcW w:w="5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#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0" w:name="OLE_LINK8" w:colFirst="2" w:colLast="2"/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产品名称</w:t>
            </w:r>
          </w:p>
        </w:tc>
        <w:tc>
          <w:tcPr>
            <w:tcW w:w="5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生产各种厚度不超过100毫米的钢板</w:t>
            </w:r>
            <w:bookmarkStart w:id="8" w:name="_GoBack"/>
            <w:bookmarkEnd w:id="8"/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制造产地</w:t>
            </w:r>
          </w:p>
        </w:tc>
        <w:tc>
          <w:tcPr>
            <w:tcW w:w="5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#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厂家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#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技术性能</w:t>
            </w:r>
          </w:p>
        </w:tc>
        <w:tc>
          <w:tcPr>
            <w:tcW w:w="5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bookmarkStart w:id="1" w:name="OLE_LINK1"/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工作压强不小于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380 МПа,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水流速度不超过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3,7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升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分钟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.,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喷嘴最大直径不超过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0,33 мм,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发动机功率不超过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37 КВт, 380 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bookmarkEnd w:id="1"/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bookmarkStart w:id="2" w:name="OLE_LINK2"/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轴位移不超过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X=1500 мм, Y=2000 мм, Z=150 мм.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重复精度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±0,05 мм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切割精度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±0,1 мм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数控程序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,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bookmarkEnd w:id="2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标准</w:t>
            </w:r>
          </w:p>
        </w:tc>
        <w:tc>
          <w:tcPr>
            <w:tcW w:w="5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#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3" w:name="OLE_LINK3" w:colFirst="2" w:colLast="2"/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制作材料</w:t>
            </w:r>
          </w:p>
        </w:tc>
        <w:tc>
          <w:tcPr>
            <w:tcW w:w="5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工作台横梁是由挤压铝合金制成的。所有部件由不锈钢、铝制成，表面富有保护漆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bookmarkEnd w:id="3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外观</w:t>
            </w:r>
          </w:p>
        </w:tc>
        <w:tc>
          <w:tcPr>
            <w:tcW w:w="5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#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配套设备</w:t>
            </w:r>
          </w:p>
        </w:tc>
        <w:tc>
          <w:tcPr>
            <w:tcW w:w="5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</w:pPr>
            <w:bookmarkStart w:id="4" w:name="OLE_LINK4"/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数控程序，工作台，液压泵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集成热交换器，三级水过滤器，油脂过滤，污染警报，油温信号灯</w:t>
            </w:r>
            <w:bookmarkEnd w:id="4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包装大小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 (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长、宽、高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)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#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重量</w:t>
            </w:r>
          </w:p>
        </w:tc>
        <w:tc>
          <w:tcPr>
            <w:tcW w:w="5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不超过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3000 кг.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生产年份</w:t>
            </w:r>
          </w:p>
        </w:tc>
        <w:tc>
          <w:tcPr>
            <w:tcW w:w="5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2016 г.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5" w:name="OLE_LINK5" w:colFirst="2" w:colLast="2"/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其它技术参数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工作台有两边载重（龙门式），机身和操作台是独立的结构</w:t>
            </w:r>
          </w:p>
        </w:tc>
      </w:tr>
      <w:bookmarkEnd w:id="5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数量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6" w:name="OLE_LINK6" w:colFirst="2" w:colLast="2"/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运送地点</w:t>
            </w:r>
          </w:p>
        </w:tc>
        <w:tc>
          <w:tcPr>
            <w:tcW w:w="5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bookmarkStart w:id="7" w:name="OLE_LINK7"/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阿拉木图地区，伊利地区，波克罗夫卡街道13A号，</w:t>
            </w:r>
            <w:bookmarkEnd w:id="7"/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 «Волковгеология»  «Управление производственно-технического обеспечения и комплектации»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股份公司</w:t>
            </w:r>
          </w:p>
        </w:tc>
      </w:tr>
      <w:bookmarkEnd w:id="6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交付时间</w:t>
            </w:r>
          </w:p>
        </w:tc>
        <w:tc>
          <w:tcPr>
            <w:tcW w:w="5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双方签订合同60天内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保质期</w:t>
            </w:r>
          </w:p>
        </w:tc>
        <w:tc>
          <w:tcPr>
            <w:tcW w:w="5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交付之日起12个月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服务期</w:t>
            </w:r>
          </w:p>
        </w:tc>
        <w:tc>
          <w:tcPr>
            <w:tcW w:w="54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"/>
              </w:rPr>
              <w:t>使用之日器至少8年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833BA"/>
    <w:rsid w:val="033833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2016-08-30T01:10:00Z</dcterms:created>
  <dc:creator>dell</dc:creator>
  <cp:lastModifiedBy>dell</cp:lastModifiedBy>
  <dcterms:modified xsi:type="dcterms:W3CDTF">2016-08-30T01:36:55Z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