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C6" w:rsidRPr="00804EBC" w:rsidRDefault="00804EBC">
      <w:pPr>
        <w:rPr>
          <w:lang w:val="es-AR"/>
        </w:rPr>
      </w:pPr>
      <w:r>
        <w:t>8.2.5</w:t>
      </w:r>
      <w:r>
        <w:rPr>
          <w:rFonts w:hint="eastAsia"/>
        </w:rPr>
        <w:t xml:space="preserve"> </w:t>
      </w:r>
      <w:r>
        <w:rPr>
          <w:rFonts w:hint="eastAsia"/>
        </w:rPr>
        <w:t>计量和付款方式</w:t>
      </w:r>
      <w:r>
        <w:br/>
      </w:r>
      <w:r>
        <w:rPr>
          <w:rFonts w:hint="eastAsia"/>
          <w:lang w:val="es-AR"/>
        </w:rPr>
        <w:t>该项目所购买的是增厚设备（</w:t>
      </w:r>
      <w:r>
        <w:rPr>
          <w:rFonts w:hint="eastAsia"/>
          <w:lang w:val="es-AR"/>
        </w:rPr>
        <w:t>1</w:t>
      </w:r>
      <w:r>
        <w:rPr>
          <w:rFonts w:hint="eastAsia"/>
          <w:lang w:val="es-AR"/>
        </w:rPr>
        <w:t>台重力增厚设备），当废水处理系统的增厚设备完成安装并运行测试通过后，会支付款项。</w:t>
      </w:r>
      <w:r>
        <w:rPr>
          <w:lang w:val="es-AR"/>
        </w:rPr>
        <w:br/>
      </w:r>
      <w:r>
        <w:rPr>
          <w:rFonts w:hint="eastAsia"/>
          <w:lang w:val="es-AR"/>
        </w:rPr>
        <w:t>承包商所报价的设备的价格需包含人工，工具，材料，安装设备，耗材，手续费，税费，至安装地点的运费，测量，调试和测试。此外</w:t>
      </w:r>
      <w:r w:rsidR="00A739AE">
        <w:rPr>
          <w:rFonts w:hint="eastAsia"/>
          <w:lang w:val="es-AR"/>
        </w:rPr>
        <w:t>还需要包含</w:t>
      </w:r>
      <w:r>
        <w:rPr>
          <w:rFonts w:hint="eastAsia"/>
          <w:lang w:val="es-AR"/>
        </w:rPr>
        <w:t>当设备在</w:t>
      </w:r>
      <w:r>
        <w:rPr>
          <w:rFonts w:hint="eastAsia"/>
          <w:lang w:val="es-AR"/>
        </w:rPr>
        <w:t>Ambato</w:t>
      </w:r>
      <w:r>
        <w:rPr>
          <w:rFonts w:hint="eastAsia"/>
          <w:lang w:val="es-AR"/>
        </w:rPr>
        <w:t>地区完成安装后，对</w:t>
      </w:r>
      <w:r>
        <w:rPr>
          <w:rFonts w:hint="eastAsia"/>
          <w:lang w:val="es-AR"/>
        </w:rPr>
        <w:t>EP EMAPA</w:t>
      </w:r>
      <w:r>
        <w:rPr>
          <w:rFonts w:hint="eastAsia"/>
          <w:lang w:val="es-AR"/>
        </w:rPr>
        <w:t>公司的两名技术人员在操作，维护和测量等方面的培训费用</w:t>
      </w:r>
      <w:r w:rsidR="00A739AE">
        <w:rPr>
          <w:rFonts w:hint="eastAsia"/>
          <w:lang w:val="es-AR"/>
        </w:rPr>
        <w:t>。</w:t>
      </w:r>
      <w:r w:rsidR="009D7BEB">
        <w:rPr>
          <w:lang w:val="es-AR"/>
        </w:rPr>
        <w:br/>
      </w:r>
      <w:r w:rsidR="007B6128">
        <w:rPr>
          <w:rFonts w:hint="eastAsia"/>
          <w:lang w:val="es-AR"/>
        </w:rPr>
        <w:t>支付费用会根据先前协定费用来进行支付，不接受额外的支付费用支付。</w:t>
      </w:r>
      <w:r w:rsidR="007B6128">
        <w:rPr>
          <w:lang w:val="es-AR"/>
        </w:rPr>
        <w:br/>
      </w:r>
      <w:r w:rsidR="007B6128">
        <w:rPr>
          <w:rFonts w:hint="eastAsia"/>
          <w:lang w:val="es-AR"/>
        </w:rPr>
        <w:br/>
        <w:t xml:space="preserve">8.3 </w:t>
      </w:r>
      <w:r w:rsidR="007B6128">
        <w:rPr>
          <w:rFonts w:hint="eastAsia"/>
          <w:lang w:val="es-AR"/>
        </w:rPr>
        <w:t>浮动式增稠机</w:t>
      </w:r>
      <w:r w:rsidR="007B6128">
        <w:rPr>
          <w:lang w:val="es-AR"/>
        </w:rPr>
        <w:br/>
        <w:t>8.3.1</w:t>
      </w:r>
      <w:r w:rsidR="007B6128">
        <w:rPr>
          <w:rFonts w:hint="eastAsia"/>
          <w:lang w:val="es-AR"/>
        </w:rPr>
        <w:t xml:space="preserve"> </w:t>
      </w:r>
      <w:r w:rsidR="007B6128">
        <w:rPr>
          <w:rFonts w:hint="eastAsia"/>
          <w:lang w:val="es-AR"/>
        </w:rPr>
        <w:t>定义和操作</w:t>
      </w:r>
      <w:r w:rsidR="007B6128">
        <w:rPr>
          <w:lang w:val="es-AR"/>
        </w:rPr>
        <w:br/>
      </w:r>
      <w:r w:rsidR="007B6128">
        <w:rPr>
          <w:rFonts w:hint="eastAsia"/>
          <w:lang w:val="es-AR"/>
        </w:rPr>
        <w:t>溶气气浮是基于空气在压力作用下在水中的可溶性原理。</w:t>
      </w:r>
      <w:r w:rsidR="00226C3C">
        <w:rPr>
          <w:rFonts w:hint="eastAsia"/>
          <w:lang w:val="es-AR"/>
        </w:rPr>
        <w:t>通常来讲是将容器中经由一段时间加压絮凝处理的原水和压缩空气同时引入，以此达到将空气溶解到水中的目的。</w:t>
      </w:r>
      <w:r w:rsidR="00226C3C">
        <w:rPr>
          <w:lang w:val="es-AR"/>
        </w:rPr>
        <w:br/>
      </w:r>
      <w:r w:rsidR="00226C3C">
        <w:rPr>
          <w:rFonts w:hint="eastAsia"/>
          <w:lang w:val="es-AR"/>
        </w:rPr>
        <w:t>随后</w:t>
      </w:r>
      <w:r w:rsidR="008B7009">
        <w:rPr>
          <w:rFonts w:hint="eastAsia"/>
          <w:lang w:val="es-AR"/>
        </w:rPr>
        <w:t>，在适当的条件下给水减压，以去除大量的空气微泡。这些微泡粘附在足够数量的絮状物上，并借助其上升力</w:t>
      </w:r>
      <w:r w:rsidR="00C23B2F">
        <w:rPr>
          <w:rFonts w:hint="eastAsia"/>
          <w:lang w:val="es-AR"/>
        </w:rPr>
        <w:t>来浮到表面，并经由各种不同的机械方式来去除。</w:t>
      </w:r>
      <w:r w:rsidR="00C423FA">
        <w:rPr>
          <w:lang w:val="es-AR"/>
        </w:rPr>
        <w:br/>
      </w:r>
      <w:r w:rsidR="00C423FA">
        <w:rPr>
          <w:rFonts w:hint="eastAsia"/>
          <w:lang w:val="es-AR"/>
        </w:rPr>
        <w:br/>
        <w:t xml:space="preserve">8.3.2 </w:t>
      </w:r>
      <w:r w:rsidR="00C423FA">
        <w:rPr>
          <w:rFonts w:hint="eastAsia"/>
          <w:lang w:val="es-AR"/>
        </w:rPr>
        <w:t>最小特性要求</w:t>
      </w:r>
    </w:p>
    <w:tbl>
      <w:tblPr>
        <w:tblStyle w:val="a3"/>
        <w:tblW w:w="0" w:type="auto"/>
        <w:tblLook w:val="04A0" w:firstRow="1" w:lastRow="0" w:firstColumn="1" w:lastColumn="0" w:noHBand="0" w:noVBand="1"/>
      </w:tblPr>
      <w:tblGrid>
        <w:gridCol w:w="4261"/>
        <w:gridCol w:w="4261"/>
      </w:tblGrid>
      <w:tr w:rsidR="008949C6" w:rsidTr="008949C6">
        <w:tc>
          <w:tcPr>
            <w:tcW w:w="4261" w:type="dxa"/>
          </w:tcPr>
          <w:p w:rsidR="008949C6" w:rsidRDefault="008949C6">
            <w:pPr>
              <w:rPr>
                <w:lang w:val="es-AR"/>
              </w:rPr>
            </w:pPr>
            <w:r>
              <w:rPr>
                <w:rFonts w:hint="eastAsia"/>
                <w:lang w:val="es-AR"/>
              </w:rPr>
              <w:t>水的类型</w:t>
            </w:r>
          </w:p>
        </w:tc>
        <w:tc>
          <w:tcPr>
            <w:tcW w:w="4261" w:type="dxa"/>
          </w:tcPr>
          <w:p w:rsidR="008949C6" w:rsidRDefault="009A7B5F">
            <w:pPr>
              <w:rPr>
                <w:lang w:val="es-AR"/>
              </w:rPr>
            </w:pPr>
            <w:r>
              <w:rPr>
                <w:rFonts w:hint="eastAsia"/>
                <w:lang w:val="es-AR"/>
              </w:rPr>
              <w:t>生物污泥</w:t>
            </w:r>
          </w:p>
        </w:tc>
      </w:tr>
      <w:tr w:rsidR="008949C6" w:rsidTr="008949C6">
        <w:tc>
          <w:tcPr>
            <w:tcW w:w="4261" w:type="dxa"/>
          </w:tcPr>
          <w:p w:rsidR="008949C6" w:rsidRDefault="008949C6">
            <w:pPr>
              <w:rPr>
                <w:lang w:val="es-AR"/>
              </w:rPr>
            </w:pPr>
            <w:r>
              <w:rPr>
                <w:rFonts w:hint="eastAsia"/>
                <w:lang w:val="es-AR"/>
              </w:rPr>
              <w:t>处理</w:t>
            </w:r>
          </w:p>
        </w:tc>
        <w:tc>
          <w:tcPr>
            <w:tcW w:w="4261" w:type="dxa"/>
          </w:tcPr>
          <w:p w:rsidR="008949C6" w:rsidRDefault="009A7B5F">
            <w:pPr>
              <w:rPr>
                <w:lang w:val="es-AR"/>
              </w:rPr>
            </w:pPr>
            <w:r>
              <w:rPr>
                <w:rFonts w:hint="eastAsia"/>
                <w:lang w:val="es-AR"/>
              </w:rPr>
              <w:t>污泥增厚</w:t>
            </w:r>
          </w:p>
        </w:tc>
      </w:tr>
      <w:tr w:rsidR="008949C6" w:rsidTr="008949C6">
        <w:tc>
          <w:tcPr>
            <w:tcW w:w="4261" w:type="dxa"/>
          </w:tcPr>
          <w:p w:rsidR="008949C6" w:rsidRDefault="008949C6">
            <w:pPr>
              <w:rPr>
                <w:lang w:val="es-AR"/>
              </w:rPr>
            </w:pPr>
            <w:r>
              <w:rPr>
                <w:rFonts w:hint="eastAsia"/>
                <w:lang w:val="es-AR"/>
              </w:rPr>
              <w:t>进给流量</w:t>
            </w:r>
          </w:p>
        </w:tc>
        <w:tc>
          <w:tcPr>
            <w:tcW w:w="4261" w:type="dxa"/>
          </w:tcPr>
          <w:p w:rsidR="008949C6" w:rsidRDefault="009A7B5F" w:rsidP="009A7B5F">
            <w:pPr>
              <w:rPr>
                <w:lang w:val="es-AR"/>
              </w:rPr>
            </w:pPr>
            <w:r>
              <w:t>43,5 m³/h = 1046 m³/</w:t>
            </w:r>
            <w:r>
              <w:rPr>
                <w:rFonts w:hint="eastAsia"/>
              </w:rPr>
              <w:t>天</w:t>
            </w:r>
          </w:p>
        </w:tc>
      </w:tr>
      <w:tr w:rsidR="008949C6" w:rsidTr="008949C6">
        <w:tc>
          <w:tcPr>
            <w:tcW w:w="4261" w:type="dxa"/>
          </w:tcPr>
          <w:p w:rsidR="008949C6" w:rsidRDefault="008949C6">
            <w:pPr>
              <w:rPr>
                <w:lang w:val="es-AR"/>
              </w:rPr>
            </w:pPr>
            <w:r>
              <w:rPr>
                <w:rFonts w:hint="eastAsia"/>
                <w:lang w:val="es-AR"/>
              </w:rPr>
              <w:t>增厚污泥固体含量</w:t>
            </w:r>
          </w:p>
        </w:tc>
        <w:tc>
          <w:tcPr>
            <w:tcW w:w="4261" w:type="dxa"/>
          </w:tcPr>
          <w:p w:rsidR="008949C6" w:rsidRDefault="009A7B5F">
            <w:pPr>
              <w:rPr>
                <w:lang w:val="es-AR"/>
              </w:rPr>
            </w:pPr>
            <w:r>
              <w:t>7323 kg/</w:t>
            </w:r>
            <w:r>
              <w:rPr>
                <w:rFonts w:hint="eastAsia"/>
              </w:rPr>
              <w:t>天</w:t>
            </w:r>
          </w:p>
        </w:tc>
      </w:tr>
      <w:tr w:rsidR="008949C6" w:rsidTr="008949C6">
        <w:tc>
          <w:tcPr>
            <w:tcW w:w="4261" w:type="dxa"/>
          </w:tcPr>
          <w:p w:rsidR="008949C6" w:rsidRDefault="008949C6">
            <w:pPr>
              <w:rPr>
                <w:lang w:val="es-AR"/>
              </w:rPr>
            </w:pPr>
            <w:r>
              <w:rPr>
                <w:rFonts w:hint="eastAsia"/>
                <w:lang w:val="es-AR"/>
              </w:rPr>
              <w:t>入口浓度</w:t>
            </w:r>
          </w:p>
        </w:tc>
        <w:tc>
          <w:tcPr>
            <w:tcW w:w="4261" w:type="dxa"/>
          </w:tcPr>
          <w:p w:rsidR="008949C6" w:rsidRDefault="009A7B5F">
            <w:pPr>
              <w:rPr>
                <w:lang w:val="es-AR"/>
              </w:rPr>
            </w:pPr>
            <w:r>
              <w:t>7 kg/m³</w:t>
            </w:r>
          </w:p>
        </w:tc>
      </w:tr>
      <w:tr w:rsidR="008949C6" w:rsidTr="008949C6">
        <w:tc>
          <w:tcPr>
            <w:tcW w:w="4261" w:type="dxa"/>
          </w:tcPr>
          <w:p w:rsidR="008949C6" w:rsidRPr="008949C6" w:rsidRDefault="008949C6">
            <w:pPr>
              <w:rPr>
                <w:b/>
                <w:lang w:val="es-AR"/>
              </w:rPr>
            </w:pPr>
            <w:r w:rsidRPr="008949C6">
              <w:rPr>
                <w:rFonts w:hint="eastAsia"/>
                <w:b/>
                <w:lang w:val="es-AR"/>
              </w:rPr>
              <w:t>建造材料</w:t>
            </w:r>
          </w:p>
        </w:tc>
        <w:tc>
          <w:tcPr>
            <w:tcW w:w="4261" w:type="dxa"/>
          </w:tcPr>
          <w:p w:rsidR="008949C6" w:rsidRDefault="008949C6">
            <w:pPr>
              <w:rPr>
                <w:lang w:val="es-AR"/>
              </w:rPr>
            </w:pPr>
          </w:p>
        </w:tc>
      </w:tr>
      <w:tr w:rsidR="008949C6" w:rsidTr="008949C6">
        <w:tc>
          <w:tcPr>
            <w:tcW w:w="4261" w:type="dxa"/>
          </w:tcPr>
          <w:p w:rsidR="008949C6" w:rsidRDefault="008949C6">
            <w:pPr>
              <w:rPr>
                <w:lang w:val="es-AR"/>
              </w:rPr>
            </w:pPr>
            <w:r>
              <w:rPr>
                <w:rFonts w:hint="eastAsia"/>
                <w:lang w:val="es-AR"/>
              </w:rPr>
              <w:t>同水接触的部分</w:t>
            </w:r>
          </w:p>
        </w:tc>
        <w:tc>
          <w:tcPr>
            <w:tcW w:w="4261" w:type="dxa"/>
          </w:tcPr>
          <w:p w:rsidR="008949C6" w:rsidRDefault="009A7B5F">
            <w:pPr>
              <w:rPr>
                <w:lang w:val="es-AR"/>
              </w:rPr>
            </w:pPr>
            <w:r>
              <w:rPr>
                <w:rFonts w:hint="eastAsia"/>
                <w:lang w:val="es-AR"/>
              </w:rPr>
              <w:t>AISI 316</w:t>
            </w:r>
            <w:r>
              <w:rPr>
                <w:rFonts w:hint="eastAsia"/>
                <w:lang w:val="es-AR"/>
              </w:rPr>
              <w:t>不锈钢</w:t>
            </w:r>
          </w:p>
        </w:tc>
      </w:tr>
      <w:tr w:rsidR="008949C6" w:rsidTr="008949C6">
        <w:tc>
          <w:tcPr>
            <w:tcW w:w="4261" w:type="dxa"/>
          </w:tcPr>
          <w:p w:rsidR="008949C6" w:rsidRDefault="008949C6">
            <w:pPr>
              <w:rPr>
                <w:lang w:val="es-AR"/>
              </w:rPr>
            </w:pPr>
            <w:r>
              <w:rPr>
                <w:rFonts w:hint="eastAsia"/>
                <w:lang w:val="es-AR"/>
              </w:rPr>
              <w:t>台车（</w:t>
            </w:r>
            <w:r>
              <w:rPr>
                <w:rFonts w:hint="eastAsia"/>
                <w:lang w:val="es-AR"/>
              </w:rPr>
              <w:t>cart</w:t>
            </w:r>
            <w:r>
              <w:rPr>
                <w:rFonts w:hint="eastAsia"/>
                <w:lang w:val="es-AR"/>
              </w:rPr>
              <w:t>）</w:t>
            </w:r>
          </w:p>
        </w:tc>
        <w:tc>
          <w:tcPr>
            <w:tcW w:w="4261" w:type="dxa"/>
          </w:tcPr>
          <w:p w:rsidR="008949C6" w:rsidRDefault="009A7B5F">
            <w:pPr>
              <w:rPr>
                <w:lang w:val="es-AR"/>
              </w:rPr>
            </w:pPr>
            <w:r>
              <w:rPr>
                <w:rFonts w:hint="eastAsia"/>
                <w:lang w:val="es-AR"/>
              </w:rPr>
              <w:t>AISI 316</w:t>
            </w:r>
            <w:r>
              <w:rPr>
                <w:rFonts w:hint="eastAsia"/>
                <w:lang w:val="es-AR"/>
              </w:rPr>
              <w:t>不锈钢</w:t>
            </w:r>
          </w:p>
        </w:tc>
      </w:tr>
      <w:tr w:rsidR="008949C6" w:rsidTr="008949C6">
        <w:tc>
          <w:tcPr>
            <w:tcW w:w="4261" w:type="dxa"/>
          </w:tcPr>
          <w:p w:rsidR="008949C6" w:rsidRDefault="008949C6">
            <w:pPr>
              <w:rPr>
                <w:lang w:val="es-AR"/>
              </w:rPr>
            </w:pPr>
            <w:r>
              <w:rPr>
                <w:rFonts w:hint="eastAsia"/>
                <w:lang w:val="es-AR"/>
              </w:rPr>
              <w:t>净化水径向管，</w:t>
            </w:r>
            <w:r>
              <w:rPr>
                <w:rFonts w:hint="eastAsia"/>
                <w:lang w:val="es-AR"/>
              </w:rPr>
              <w:t>进给</w:t>
            </w:r>
            <w:r w:rsidRPr="008949C6">
              <w:rPr>
                <w:rFonts w:hint="eastAsia"/>
                <w:lang w:val="es-AR"/>
              </w:rPr>
              <w:t>管道支架</w:t>
            </w:r>
            <w:r>
              <w:rPr>
                <w:rFonts w:hint="eastAsia"/>
                <w:lang w:val="es-AR"/>
              </w:rPr>
              <w:t>，净化水管道支架，管道在地基中</w:t>
            </w:r>
          </w:p>
        </w:tc>
        <w:tc>
          <w:tcPr>
            <w:tcW w:w="4261" w:type="dxa"/>
          </w:tcPr>
          <w:p w:rsidR="008949C6" w:rsidRDefault="009A7B5F">
            <w:pPr>
              <w:rPr>
                <w:lang w:val="es-AR"/>
              </w:rPr>
            </w:pPr>
            <w:r>
              <w:rPr>
                <w:rFonts w:hint="eastAsia"/>
                <w:lang w:val="es-AR"/>
              </w:rPr>
              <w:t>碳钢</w:t>
            </w:r>
          </w:p>
        </w:tc>
      </w:tr>
      <w:tr w:rsidR="008949C6" w:rsidTr="008949C6">
        <w:tc>
          <w:tcPr>
            <w:tcW w:w="4261" w:type="dxa"/>
          </w:tcPr>
          <w:p w:rsidR="008949C6" w:rsidRDefault="008949C6">
            <w:pPr>
              <w:rPr>
                <w:lang w:val="es-AR"/>
              </w:rPr>
            </w:pPr>
            <w:r>
              <w:rPr>
                <w:rFonts w:hint="eastAsia"/>
                <w:lang w:val="es-AR"/>
              </w:rPr>
              <w:t>旋转台车，配备维护平台</w:t>
            </w:r>
          </w:p>
        </w:tc>
        <w:tc>
          <w:tcPr>
            <w:tcW w:w="4261" w:type="dxa"/>
          </w:tcPr>
          <w:p w:rsidR="008949C6" w:rsidRDefault="009A7B5F">
            <w:pPr>
              <w:rPr>
                <w:lang w:val="es-AR"/>
              </w:rPr>
            </w:pPr>
            <w:r>
              <w:rPr>
                <w:rFonts w:hint="eastAsia"/>
                <w:lang w:val="es-AR"/>
              </w:rPr>
              <w:t>由不锈钢制成。内置配备电子驱动变速器的电动减速机来对其进行移动，功率</w:t>
            </w:r>
            <w:r>
              <w:rPr>
                <w:rFonts w:hint="eastAsia"/>
                <w:lang w:val="es-AR"/>
              </w:rPr>
              <w:t>=0.55kW</w:t>
            </w:r>
          </w:p>
        </w:tc>
      </w:tr>
      <w:tr w:rsidR="008949C6" w:rsidTr="008949C6">
        <w:tc>
          <w:tcPr>
            <w:tcW w:w="4261" w:type="dxa"/>
          </w:tcPr>
          <w:p w:rsidR="008949C6" w:rsidRDefault="008949C6">
            <w:pPr>
              <w:rPr>
                <w:lang w:val="es-AR"/>
              </w:rPr>
            </w:pPr>
            <w:r>
              <w:rPr>
                <w:rFonts w:hint="eastAsia"/>
                <w:lang w:val="es-AR"/>
              </w:rPr>
              <w:t>加压管路</w:t>
            </w:r>
          </w:p>
        </w:tc>
        <w:tc>
          <w:tcPr>
            <w:tcW w:w="4261" w:type="dxa"/>
          </w:tcPr>
          <w:p w:rsidR="008949C6" w:rsidRDefault="00324595">
            <w:pPr>
              <w:rPr>
                <w:lang w:val="es-AR"/>
              </w:rPr>
            </w:pPr>
            <w:r>
              <w:rPr>
                <w:lang w:val="es-AR"/>
              </w:rPr>
              <w:t>2</w:t>
            </w:r>
            <w:r>
              <w:rPr>
                <w:rFonts w:hint="eastAsia"/>
                <w:lang w:val="es-AR"/>
              </w:rPr>
              <w:t>台增压离心泵，配备基座板，连接器，机械密封件和电机。用于</w:t>
            </w:r>
            <w:r>
              <w:rPr>
                <w:rFonts w:hint="eastAsia"/>
                <w:lang w:val="es-AR"/>
              </w:rPr>
              <w:t>75m3/h</w:t>
            </w:r>
            <w:r>
              <w:rPr>
                <w:rFonts w:hint="eastAsia"/>
                <w:lang w:val="es-AR"/>
              </w:rPr>
              <w:t>的流量，</w:t>
            </w:r>
            <w:r>
              <w:rPr>
                <w:rFonts w:hint="eastAsia"/>
                <w:lang w:val="es-AR"/>
              </w:rPr>
              <w:t>60mc.a</w:t>
            </w:r>
            <w:r>
              <w:rPr>
                <w:rFonts w:hint="eastAsia"/>
                <w:lang w:val="es-AR"/>
              </w:rPr>
              <w:t>，</w:t>
            </w:r>
            <w:r>
              <w:rPr>
                <w:rFonts w:hint="eastAsia"/>
                <w:lang w:val="es-AR"/>
              </w:rPr>
              <w:t>22kW</w:t>
            </w:r>
            <w:r>
              <w:rPr>
                <w:rFonts w:hint="eastAsia"/>
                <w:lang w:val="es-AR"/>
              </w:rPr>
              <w:t>功率。</w:t>
            </w:r>
            <w:r>
              <w:rPr>
                <w:rFonts w:hint="eastAsia"/>
                <w:lang w:val="es-AR"/>
              </w:rPr>
              <w:t>IDEAL</w:t>
            </w:r>
            <w:r>
              <w:rPr>
                <w:rFonts w:hint="eastAsia"/>
                <w:lang w:val="es-AR"/>
              </w:rPr>
              <w:t>品牌或类似</w:t>
            </w:r>
          </w:p>
        </w:tc>
      </w:tr>
    </w:tbl>
    <w:p w:rsidR="00CA28FE" w:rsidRPr="00804EBC" w:rsidRDefault="00CA658E">
      <w:pPr>
        <w:rPr>
          <w:lang w:val="es-AR"/>
        </w:rPr>
      </w:pPr>
      <w:r>
        <w:rPr>
          <w:rFonts w:hint="eastAsia"/>
          <w:lang w:val="es-AR"/>
        </w:rPr>
        <w:br/>
        <w:t xml:space="preserve">8.3.3 </w:t>
      </w:r>
      <w:r>
        <w:rPr>
          <w:rFonts w:hint="eastAsia"/>
          <w:lang w:val="es-AR"/>
        </w:rPr>
        <w:t>性能要求</w:t>
      </w:r>
      <w:r>
        <w:rPr>
          <w:rFonts w:hint="eastAsia"/>
          <w:lang w:val="es-AR"/>
        </w:rPr>
        <w:t xml:space="preserve"> / </w:t>
      </w:r>
      <w:r>
        <w:rPr>
          <w:rFonts w:hint="eastAsia"/>
          <w:lang w:val="es-AR"/>
        </w:rPr>
        <w:t>文档资料</w:t>
      </w:r>
      <w:r>
        <w:rPr>
          <w:lang w:val="es-AR"/>
        </w:rPr>
        <w:br/>
      </w:r>
      <w:r>
        <w:rPr>
          <w:rFonts w:hint="eastAsia"/>
          <w:lang w:val="es-AR"/>
        </w:rPr>
        <w:t>承包商需要证明所供应的设备（报价的品牌和型号）具备所需求的特性，并且展示这些类似的设备在全世界各个地方的运行情况。</w:t>
      </w:r>
      <w:r>
        <w:rPr>
          <w:lang w:val="es-AR"/>
        </w:rPr>
        <w:br/>
      </w:r>
      <w:r>
        <w:rPr>
          <w:rFonts w:hint="eastAsia"/>
          <w:lang w:val="es-AR"/>
        </w:rPr>
        <w:t>此外，承包商需要提供所供应设备</w:t>
      </w:r>
      <w:r w:rsidR="00607674">
        <w:rPr>
          <w:rFonts w:hint="eastAsia"/>
          <w:lang w:val="es-AR"/>
        </w:rPr>
        <w:t>各个部件的维护</w:t>
      </w:r>
      <w:r>
        <w:rPr>
          <w:rFonts w:hint="eastAsia"/>
          <w:lang w:val="es-AR"/>
        </w:rPr>
        <w:t>维修</w:t>
      </w:r>
      <w:r w:rsidR="00607674">
        <w:rPr>
          <w:rFonts w:hint="eastAsia"/>
          <w:lang w:val="es-AR"/>
        </w:rPr>
        <w:t>和操作等的原始手册。如果手册是其他语言的，还需要额外附加一份西班牙语版本的手册。</w:t>
      </w:r>
      <w:r w:rsidR="00607674">
        <w:rPr>
          <w:lang w:val="es-AR"/>
        </w:rPr>
        <w:br/>
      </w:r>
      <w:r w:rsidR="00607674">
        <w:rPr>
          <w:rFonts w:hint="eastAsia"/>
          <w:lang w:val="es-AR"/>
        </w:rPr>
        <w:br/>
        <w:t xml:space="preserve">8.3.4 </w:t>
      </w:r>
      <w:r w:rsidR="00607674">
        <w:rPr>
          <w:rFonts w:hint="eastAsia"/>
        </w:rPr>
        <w:t xml:space="preserve"> </w:t>
      </w:r>
      <w:r w:rsidR="00607674">
        <w:rPr>
          <w:rFonts w:hint="eastAsia"/>
        </w:rPr>
        <w:t>计量和付款方式</w:t>
      </w:r>
      <w:r w:rsidR="00607674">
        <w:br/>
      </w:r>
      <w:r w:rsidR="00607674">
        <w:rPr>
          <w:rFonts w:hint="eastAsia"/>
          <w:lang w:val="es-AR"/>
        </w:rPr>
        <w:t>该项目所购买的是增厚设备（</w:t>
      </w:r>
      <w:r w:rsidR="00607674">
        <w:rPr>
          <w:rFonts w:hint="eastAsia"/>
          <w:lang w:val="es-AR"/>
        </w:rPr>
        <w:t>1</w:t>
      </w:r>
      <w:r w:rsidR="00607674">
        <w:rPr>
          <w:rFonts w:hint="eastAsia"/>
          <w:lang w:val="es-AR"/>
        </w:rPr>
        <w:t>台重力增厚设备），当废水处理系统的增厚设备完成安装并运行测试</w:t>
      </w:r>
      <w:bookmarkStart w:id="0" w:name="_GoBack"/>
      <w:bookmarkEnd w:id="0"/>
      <w:r w:rsidR="00607674">
        <w:rPr>
          <w:rFonts w:hint="eastAsia"/>
          <w:lang w:val="es-AR"/>
        </w:rPr>
        <w:t>通过后，会支付款项。</w:t>
      </w:r>
      <w:r w:rsidR="00607674">
        <w:rPr>
          <w:lang w:val="es-AR"/>
        </w:rPr>
        <w:br/>
      </w:r>
      <w:r w:rsidR="00607674">
        <w:rPr>
          <w:rFonts w:hint="eastAsia"/>
          <w:lang w:val="es-AR"/>
        </w:rPr>
        <w:t>承包商所报价的设备的价格需包含人工，工具，材料，安装设备，耗材，手续费，税费，至安装地点的运费，测量，调试和测试。此外还需要包含当设备在</w:t>
      </w:r>
      <w:r w:rsidR="00607674">
        <w:rPr>
          <w:rFonts w:hint="eastAsia"/>
          <w:lang w:val="es-AR"/>
        </w:rPr>
        <w:t>Ambato</w:t>
      </w:r>
      <w:r w:rsidR="00607674">
        <w:rPr>
          <w:rFonts w:hint="eastAsia"/>
          <w:lang w:val="es-AR"/>
        </w:rPr>
        <w:t>地区完成安装后，对</w:t>
      </w:r>
      <w:r w:rsidR="00607674">
        <w:rPr>
          <w:rFonts w:hint="eastAsia"/>
          <w:lang w:val="es-AR"/>
        </w:rPr>
        <w:t>EP EMAPA</w:t>
      </w:r>
      <w:r w:rsidR="00607674">
        <w:rPr>
          <w:rFonts w:hint="eastAsia"/>
          <w:lang w:val="es-AR"/>
        </w:rPr>
        <w:t>公司的两名技术人员在操作，维护和测量等方面的培训费用。</w:t>
      </w:r>
      <w:r w:rsidR="00607674">
        <w:rPr>
          <w:lang w:val="es-AR"/>
        </w:rPr>
        <w:br/>
      </w:r>
      <w:r w:rsidR="00607674">
        <w:rPr>
          <w:rFonts w:hint="eastAsia"/>
          <w:lang w:val="es-AR"/>
        </w:rPr>
        <w:lastRenderedPageBreak/>
        <w:t>支付费用会根据先前协定费用来进行支付，不接受额外的支付费用支付。</w:t>
      </w:r>
      <w:r w:rsidR="00607674">
        <w:rPr>
          <w:lang w:val="es-AR"/>
        </w:rPr>
        <w:br/>
      </w:r>
    </w:p>
    <w:sectPr w:rsidR="00CA28FE" w:rsidRPr="00804E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08"/>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07B46"/>
    <w:rsid w:val="00115E8D"/>
    <w:rsid w:val="0012200D"/>
    <w:rsid w:val="00125BF6"/>
    <w:rsid w:val="00142DD3"/>
    <w:rsid w:val="001435DB"/>
    <w:rsid w:val="00147999"/>
    <w:rsid w:val="00147D18"/>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6C3C"/>
    <w:rsid w:val="0022789B"/>
    <w:rsid w:val="00232FD0"/>
    <w:rsid w:val="002418EC"/>
    <w:rsid w:val="002430AF"/>
    <w:rsid w:val="00244C33"/>
    <w:rsid w:val="002548B3"/>
    <w:rsid w:val="00254B17"/>
    <w:rsid w:val="0025688B"/>
    <w:rsid w:val="002621CB"/>
    <w:rsid w:val="00265C1E"/>
    <w:rsid w:val="00277799"/>
    <w:rsid w:val="00277D03"/>
    <w:rsid w:val="00290E53"/>
    <w:rsid w:val="002A3A9B"/>
    <w:rsid w:val="002A5095"/>
    <w:rsid w:val="002A53B6"/>
    <w:rsid w:val="002B0497"/>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4595"/>
    <w:rsid w:val="00325BF7"/>
    <w:rsid w:val="003310DC"/>
    <w:rsid w:val="00331334"/>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674"/>
    <w:rsid w:val="00607FA8"/>
    <w:rsid w:val="00617617"/>
    <w:rsid w:val="00621926"/>
    <w:rsid w:val="00631BBA"/>
    <w:rsid w:val="00635C9D"/>
    <w:rsid w:val="00636FDF"/>
    <w:rsid w:val="00642D20"/>
    <w:rsid w:val="00655832"/>
    <w:rsid w:val="00657285"/>
    <w:rsid w:val="006729F1"/>
    <w:rsid w:val="006741D5"/>
    <w:rsid w:val="006766C8"/>
    <w:rsid w:val="00685BD8"/>
    <w:rsid w:val="00686049"/>
    <w:rsid w:val="006914C1"/>
    <w:rsid w:val="006A0356"/>
    <w:rsid w:val="006A09A8"/>
    <w:rsid w:val="006A4077"/>
    <w:rsid w:val="006C2BCB"/>
    <w:rsid w:val="006C2FC3"/>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06CE"/>
    <w:rsid w:val="007628AB"/>
    <w:rsid w:val="00766498"/>
    <w:rsid w:val="0076776F"/>
    <w:rsid w:val="0077365D"/>
    <w:rsid w:val="0078031F"/>
    <w:rsid w:val="00780F12"/>
    <w:rsid w:val="007868DC"/>
    <w:rsid w:val="007A009D"/>
    <w:rsid w:val="007A4881"/>
    <w:rsid w:val="007A638B"/>
    <w:rsid w:val="007A6764"/>
    <w:rsid w:val="007B1276"/>
    <w:rsid w:val="007B6128"/>
    <w:rsid w:val="007C0F0B"/>
    <w:rsid w:val="007C28AC"/>
    <w:rsid w:val="007C2FFF"/>
    <w:rsid w:val="007C5469"/>
    <w:rsid w:val="007D3AD9"/>
    <w:rsid w:val="007E1062"/>
    <w:rsid w:val="007E2DBE"/>
    <w:rsid w:val="007E3E4C"/>
    <w:rsid w:val="007E4500"/>
    <w:rsid w:val="007F061D"/>
    <w:rsid w:val="007F18B2"/>
    <w:rsid w:val="007F7128"/>
    <w:rsid w:val="008037F9"/>
    <w:rsid w:val="00804EBC"/>
    <w:rsid w:val="008066D2"/>
    <w:rsid w:val="00807C8D"/>
    <w:rsid w:val="00810930"/>
    <w:rsid w:val="00810BD9"/>
    <w:rsid w:val="00816DBA"/>
    <w:rsid w:val="0082105E"/>
    <w:rsid w:val="0082228D"/>
    <w:rsid w:val="00826F1D"/>
    <w:rsid w:val="00827762"/>
    <w:rsid w:val="0083223B"/>
    <w:rsid w:val="008376C8"/>
    <w:rsid w:val="008433AB"/>
    <w:rsid w:val="00843BC6"/>
    <w:rsid w:val="00856B5A"/>
    <w:rsid w:val="008602BB"/>
    <w:rsid w:val="008644DA"/>
    <w:rsid w:val="00872F70"/>
    <w:rsid w:val="00880DA2"/>
    <w:rsid w:val="008917B3"/>
    <w:rsid w:val="008949C6"/>
    <w:rsid w:val="008974F1"/>
    <w:rsid w:val="008A1E08"/>
    <w:rsid w:val="008A52A2"/>
    <w:rsid w:val="008B7009"/>
    <w:rsid w:val="008C0D81"/>
    <w:rsid w:val="008C2441"/>
    <w:rsid w:val="008E097C"/>
    <w:rsid w:val="008E1612"/>
    <w:rsid w:val="008E22B4"/>
    <w:rsid w:val="008E2728"/>
    <w:rsid w:val="008F0C6C"/>
    <w:rsid w:val="008F6605"/>
    <w:rsid w:val="009008F7"/>
    <w:rsid w:val="0090370C"/>
    <w:rsid w:val="00903F1D"/>
    <w:rsid w:val="0090606A"/>
    <w:rsid w:val="00921441"/>
    <w:rsid w:val="00924A2F"/>
    <w:rsid w:val="00935887"/>
    <w:rsid w:val="009445BC"/>
    <w:rsid w:val="009524AC"/>
    <w:rsid w:val="00952CA3"/>
    <w:rsid w:val="0095448B"/>
    <w:rsid w:val="00961EF1"/>
    <w:rsid w:val="009621BA"/>
    <w:rsid w:val="00962E0B"/>
    <w:rsid w:val="00971C58"/>
    <w:rsid w:val="009733B7"/>
    <w:rsid w:val="00982ACA"/>
    <w:rsid w:val="00982C95"/>
    <w:rsid w:val="00984C5D"/>
    <w:rsid w:val="009A7988"/>
    <w:rsid w:val="009A7B5F"/>
    <w:rsid w:val="009B66B6"/>
    <w:rsid w:val="009C1C24"/>
    <w:rsid w:val="009D4CCC"/>
    <w:rsid w:val="009D77D9"/>
    <w:rsid w:val="009D7BEB"/>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739AE"/>
    <w:rsid w:val="00A76427"/>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3B2F"/>
    <w:rsid w:val="00C2413A"/>
    <w:rsid w:val="00C3036F"/>
    <w:rsid w:val="00C30D07"/>
    <w:rsid w:val="00C33597"/>
    <w:rsid w:val="00C42263"/>
    <w:rsid w:val="00C423FA"/>
    <w:rsid w:val="00C500C8"/>
    <w:rsid w:val="00C5269D"/>
    <w:rsid w:val="00C52742"/>
    <w:rsid w:val="00C53685"/>
    <w:rsid w:val="00C53728"/>
    <w:rsid w:val="00C5742D"/>
    <w:rsid w:val="00C621E6"/>
    <w:rsid w:val="00C62A32"/>
    <w:rsid w:val="00C635A2"/>
    <w:rsid w:val="00C65431"/>
    <w:rsid w:val="00C65AB4"/>
    <w:rsid w:val="00C7145C"/>
    <w:rsid w:val="00C861BA"/>
    <w:rsid w:val="00C92C03"/>
    <w:rsid w:val="00C96041"/>
    <w:rsid w:val="00CA28FE"/>
    <w:rsid w:val="00CA35CD"/>
    <w:rsid w:val="00CA658E"/>
    <w:rsid w:val="00CB7199"/>
    <w:rsid w:val="00CC2746"/>
    <w:rsid w:val="00CC3964"/>
    <w:rsid w:val="00CD2F93"/>
    <w:rsid w:val="00CD3A12"/>
    <w:rsid w:val="00CD4D20"/>
    <w:rsid w:val="00CD7FBD"/>
    <w:rsid w:val="00CE300F"/>
    <w:rsid w:val="00CE7B7E"/>
    <w:rsid w:val="00CF7383"/>
    <w:rsid w:val="00CF7616"/>
    <w:rsid w:val="00D01223"/>
    <w:rsid w:val="00D17540"/>
    <w:rsid w:val="00D17E50"/>
    <w:rsid w:val="00D22876"/>
    <w:rsid w:val="00D2427B"/>
    <w:rsid w:val="00D25D3E"/>
    <w:rsid w:val="00D30086"/>
    <w:rsid w:val="00D33024"/>
    <w:rsid w:val="00D425CC"/>
    <w:rsid w:val="00D42A46"/>
    <w:rsid w:val="00D42EBF"/>
    <w:rsid w:val="00D468BE"/>
    <w:rsid w:val="00D4768B"/>
    <w:rsid w:val="00D51A56"/>
    <w:rsid w:val="00D5740E"/>
    <w:rsid w:val="00D64482"/>
    <w:rsid w:val="00D70967"/>
    <w:rsid w:val="00D70F1E"/>
    <w:rsid w:val="00D76E92"/>
    <w:rsid w:val="00D808EE"/>
    <w:rsid w:val="00D91A99"/>
    <w:rsid w:val="00DA7899"/>
    <w:rsid w:val="00DB4DF2"/>
    <w:rsid w:val="00DB6582"/>
    <w:rsid w:val="00DB6D90"/>
    <w:rsid w:val="00DD26D5"/>
    <w:rsid w:val="00DE2139"/>
    <w:rsid w:val="00DE3F30"/>
    <w:rsid w:val="00DE40F5"/>
    <w:rsid w:val="00DE4280"/>
    <w:rsid w:val="00DE50BB"/>
    <w:rsid w:val="00DE5DF7"/>
    <w:rsid w:val="00DE658D"/>
    <w:rsid w:val="00E03C54"/>
    <w:rsid w:val="00E104CD"/>
    <w:rsid w:val="00E10E84"/>
    <w:rsid w:val="00E11E4B"/>
    <w:rsid w:val="00E132E8"/>
    <w:rsid w:val="00E20E56"/>
    <w:rsid w:val="00E2710B"/>
    <w:rsid w:val="00E27394"/>
    <w:rsid w:val="00E30084"/>
    <w:rsid w:val="00E31759"/>
    <w:rsid w:val="00E41ED2"/>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46F4F"/>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2016-08-31T05:12:00Z</dcterms:created>
  <dcterms:modified xsi:type="dcterms:W3CDTF">2016-08-31T06:52:00Z</dcterms:modified>
</cp:coreProperties>
</file>