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ind w:firstLine="3935" w:firstLineChars="1400"/>
        <w:jc w:val="both"/>
        <w:rPr>
          <w:rFonts w:ascii="宋体" w:hAnsi="宋体" w:eastAsia="宋体" w:cs="Times New Roman"/>
          <w:b/>
          <w:kern w:val="2"/>
          <w:sz w:val="28"/>
          <w:szCs w:val="28"/>
        </w:rPr>
      </w:pPr>
      <w:r>
        <w:rPr>
          <w:rFonts w:hint="default" w:ascii="宋体" w:hAnsi="宋体" w:eastAsia="宋体" w:cs="Times New Roman"/>
          <w:b/>
          <w:kern w:val="2"/>
          <w:sz w:val="28"/>
          <w:szCs w:val="28"/>
          <w:lang w:val="es-PE"/>
        </w:rPr>
        <w:t>Hoja de Cotización</w:t>
      </w:r>
    </w:p>
    <w:p>
      <w:pPr>
        <w:tabs>
          <w:tab w:val="left" w:pos="859"/>
        </w:tabs>
        <w:ind w:firstLine="211" w:firstLineChars="100"/>
        <w:rPr>
          <w:sz w:val="21"/>
          <w:szCs w:val="21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</w:rPr>
        <w:t xml:space="preserve">※ </w:t>
      </w:r>
      <w:r>
        <w:rPr>
          <w:rFonts w:hint="default" w:ascii="宋体" w:hAnsi="宋体" w:eastAsia="宋体" w:cs="Times New Roman"/>
          <w:b/>
          <w:kern w:val="2"/>
          <w:sz w:val="21"/>
          <w:szCs w:val="21"/>
          <w:lang w:val="es-PE"/>
        </w:rPr>
        <w:t>Información básica</w:t>
      </w:r>
      <w:r>
        <w:rPr>
          <w:rFonts w:hint="eastAsia" w:ascii="宋体" w:hAnsi="宋体" w:eastAsia="宋体" w:cs="Times New Roman"/>
          <w:b/>
          <w:kern w:val="2"/>
          <w:sz w:val="21"/>
          <w:szCs w:val="21"/>
        </w:rPr>
        <w:t>：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Times New Roman"/>
          <w:b/>
          <w:kern w:val="2"/>
          <w:sz w:val="21"/>
          <w:szCs w:val="21"/>
        </w:rPr>
      </w:pPr>
    </w:p>
    <w:tbl>
      <w:tblPr>
        <w:tblStyle w:val="9"/>
        <w:tblpPr w:leftFromText="180" w:rightFromText="180" w:vertAnchor="page" w:horzAnchor="page" w:tblpX="1435" w:tblpY="3622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3330"/>
        <w:gridCol w:w="1530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Cliente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sz w:val="18"/>
                <w:szCs w:val="18"/>
                <w:shd w:val="clear" w:color="auto" w:fill="FFFFFF"/>
                <w:lang w:val="es-PE"/>
              </w:rPr>
              <w:t>P</w:t>
            </w:r>
            <w:r>
              <w:rPr>
                <w:rFonts w:ascii="Arial" w:hAnsi="Arial" w:eastAsia="宋体" w:cs="Arial"/>
                <w:color w:val="666666"/>
                <w:sz w:val="18"/>
                <w:szCs w:val="18"/>
                <w:shd w:val="clear" w:color="auto" w:fill="FFFFFF"/>
              </w:rPr>
              <w:t>roebee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Proveedor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Dongguan Great Machine Co.,Ltd.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Destinatario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Remitente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sz w:val="21"/>
                <w:szCs w:val="21"/>
                <w:u w:val="words"/>
                <w:lang w:val="es-P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u w:val="words"/>
                <w:lang w:val="es-PE"/>
              </w:rPr>
              <w:t>Yang Daqiao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Teléfono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ascii="Arial" w:hAnsi="Arial" w:eastAsia="宋体" w:cs="Arial"/>
                <w:color w:val="666666"/>
                <w:sz w:val="18"/>
                <w:szCs w:val="18"/>
                <w:shd w:val="clear" w:color="auto" w:fill="FFFFFF"/>
              </w:rPr>
              <w:t>5541869098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Teléfono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0769-88708085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Fax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 xml:space="preserve">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Fax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21"/>
                <w:u w:val="word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words"/>
              </w:rPr>
              <w:t>0769-88708086</w:t>
            </w:r>
          </w:p>
        </w:tc>
      </w:tr>
    </w:tbl>
    <w:p>
      <w:pPr>
        <w:widowControl w:val="0"/>
        <w:numPr>
          <w:ilvl w:val="0"/>
          <w:numId w:val="2"/>
        </w:numPr>
        <w:adjustRightInd/>
        <w:snapToGrid/>
        <w:spacing w:after="0"/>
        <w:ind w:hanging="180"/>
        <w:jc w:val="both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s-PE"/>
        </w:rPr>
        <w:t xml:space="preserve">Información de cotización 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(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 xml:space="preserve">Fecha de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s-PE"/>
        </w:rPr>
        <w:t>emisión de la cotización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: 2021.9.7 Oferta válida durante 30 día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s)</w:t>
      </w:r>
    </w:p>
    <w:tbl>
      <w:tblPr>
        <w:tblStyle w:val="9"/>
        <w:tblpPr w:leftFromText="180" w:rightFromText="180" w:vertAnchor="text" w:horzAnchor="page" w:tblpX="1455" w:tblpY="15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60"/>
        <w:gridCol w:w="1248"/>
        <w:gridCol w:w="1564"/>
        <w:gridCol w:w="15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>Ítem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>Nombre del Producto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>Cantidad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 xml:space="preserve">Precio unitario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RMB(元）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>Precio total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RMB(元）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>Comentarios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Llenadora y selladora de tubos 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280000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280000</w:t>
            </w: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s-P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Pr</w:t>
            </w: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s-PE"/>
              </w:rPr>
              <w:t>ecio</w:t>
            </w:r>
          </w:p>
        </w:tc>
        <w:tc>
          <w:tcPr>
            <w:tcW w:w="8700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¥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280000(RMB,</w:t>
            </w:r>
            <w:r>
              <w:t xml:space="preserve"> </w:t>
            </w: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s-PE"/>
              </w:rPr>
              <w:t>Precio de fábrica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0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s-PE"/>
              </w:rPr>
              <w:t>Comentarios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8700" w:type="dxa"/>
            <w:gridSpan w:val="5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before="108" w:beforeLines="30" w:after="108" w:afterLines="3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Precio con impuestos incluidos: 13%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IVA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incluido. Garantía de un año.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before="108" w:beforeLines="30" w:after="108" w:afterLines="30"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Condiciones de pago: depósito del 40% por adelantado, 60% después de la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s-PE"/>
              </w:rPr>
              <w:t>confirmación de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nuestra fábrica.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before="108" w:beforeLines="30" w:after="108" w:afterLines="30"/>
              <w:ind w:left="0" w:leftChars="0"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Nota: el despacho de aduana y el flete marítimo se calculan por separado, sujeto a la cantidad real.</w:t>
            </w:r>
          </w:p>
          <w:p>
            <w:pPr>
              <w:widowControl w:val="0"/>
              <w:numPr>
                <w:numId w:val="0"/>
              </w:numPr>
              <w:adjustRightInd/>
              <w:snapToGrid/>
              <w:spacing w:after="0"/>
              <w:ind w:left="420" w:leftChars="0"/>
              <w:jc w:val="both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widowControl w:val="0"/>
        <w:adjustRightInd/>
        <w:snapToGrid/>
        <w:spacing w:after="0"/>
        <w:jc w:val="both"/>
        <w:rPr>
          <w:rFonts w:hint="default" w:ascii="宋体" w:hAnsi="宋体" w:eastAsia="宋体" w:cs="宋体"/>
          <w:sz w:val="21"/>
          <w:szCs w:val="21"/>
          <w:lang w:val="es-PE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La </w:t>
      </w:r>
      <w:r>
        <w:rPr>
          <w:rFonts w:hint="default" w:ascii="宋体" w:hAnsi="宋体" w:eastAsia="宋体" w:cs="宋体"/>
          <w:sz w:val="21"/>
          <w:szCs w:val="21"/>
          <w:lang w:val="es-PE"/>
        </w:rPr>
        <w:t>presente cotización</w:t>
      </w:r>
      <w:r>
        <w:rPr>
          <w:rFonts w:hint="eastAsia" w:ascii="宋体" w:hAnsi="宋体" w:eastAsia="宋体" w:cs="宋体"/>
          <w:sz w:val="21"/>
          <w:szCs w:val="21"/>
        </w:rPr>
        <w:t xml:space="preserve"> no incluy</w:t>
      </w:r>
      <w:r>
        <w:rPr>
          <w:rFonts w:hint="default" w:ascii="宋体" w:hAnsi="宋体" w:eastAsia="宋体" w:cs="宋体"/>
          <w:sz w:val="21"/>
          <w:szCs w:val="21"/>
          <w:lang w:val="es-PE"/>
        </w:rPr>
        <w:t>e:</w:t>
      </w:r>
    </w:p>
    <w:p>
      <w:pPr>
        <w:widowControl w:val="0"/>
        <w:numPr>
          <w:ilvl w:val="0"/>
          <w:numId w:val="4"/>
        </w:numPr>
        <w:adjustRightInd/>
        <w:snapToGrid/>
        <w:spacing w:after="0"/>
        <w:ind w:left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Accesorios, tubos y cableado, </w:t>
      </w:r>
      <w:r>
        <w:rPr>
          <w:rFonts w:hint="default" w:ascii="宋体" w:hAnsi="宋体" w:eastAsia="宋体" w:cs="宋体"/>
          <w:sz w:val="21"/>
          <w:szCs w:val="21"/>
          <w:lang w:val="es-PE"/>
        </w:rPr>
        <w:t>solo incluye el equipo.</w:t>
      </w:r>
    </w:p>
    <w:p>
      <w:pPr>
        <w:widowControl w:val="0"/>
        <w:numPr>
          <w:ilvl w:val="0"/>
          <w:numId w:val="4"/>
        </w:numPr>
        <w:adjustRightInd/>
        <w:snapToGrid/>
        <w:spacing w:after="0"/>
        <w:ind w:left="0" w:leftChars="0" w:firstLine="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Lubricante y aceite hidráulico para la prueba de la máquina</w:t>
      </w:r>
      <w:r>
        <w:rPr>
          <w:rFonts w:hint="default" w:ascii="宋体" w:hAnsi="宋体" w:eastAsia="宋体" w:cs="宋体"/>
          <w:sz w:val="21"/>
          <w:szCs w:val="21"/>
          <w:lang w:val="es-PE"/>
        </w:rPr>
        <w:t>.</w:t>
      </w:r>
    </w:p>
    <w:p>
      <w:pPr>
        <w:widowControl w:val="0"/>
        <w:numPr>
          <w:ilvl w:val="0"/>
          <w:numId w:val="4"/>
        </w:numPr>
        <w:adjustRightInd/>
        <w:snapToGrid/>
        <w:spacing w:after="0"/>
        <w:ind w:left="0" w:leftChars="0" w:firstLine="0" w:firstLineChars="0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val="es-PE"/>
        </w:rPr>
        <w:t>P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rensa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sz w:val="21"/>
          <w:szCs w:val="21"/>
        </w:rPr>
      </w:pPr>
    </w:p>
    <w:p>
      <w:pPr>
        <w:tabs>
          <w:tab w:val="left" w:pos="900"/>
        </w:tabs>
        <w:spacing w:after="20"/>
        <w:rPr>
          <w:rFonts w:ascii="宋体" w:hAnsi="宋体" w:eastAsia="宋体" w:cs="宋体"/>
          <w:b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8" w:right="1094" w:bottom="567" w:left="1134" w:header="283" w:footer="624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99"/>
        <w:tab w:val="left" w:pos="5412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  <w:p>
    <w:pPr>
      <w:pStyle w:val="7"/>
      <w:tabs>
        <w:tab w:val="center" w:pos="4899"/>
        <w:tab w:val="left" w:pos="5412"/>
      </w:tabs>
    </w:pPr>
    <w:r>
      <w:rPr>
        <w:rFonts w:hint="eastAsia"/>
      </w:rPr>
      <w:tab/>
    </w:r>
    <w:r>
      <w:rPr>
        <w:rFonts w:hint="eastAsia"/>
      </w:rPr>
      <w:tab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27"/>
        <w:tab w:val="clear" w:pos="4153"/>
      </w:tabs>
      <w:jc w:val="left"/>
    </w:pPr>
    <w:r>
      <w:rPr>
        <w:rFonts w:hint="eastAsia"/>
      </w:rPr>
      <w:tab/>
    </w:r>
  </w:p>
  <w:p>
    <w:pPr>
      <w:pStyle w:val="8"/>
      <w:jc w:val="left"/>
      <w:rPr>
        <w:rFonts w:asciiTheme="minorEastAsia" w:hAnsiTheme="minorEastAsia" w:eastAsiaTheme="minorEastAsia"/>
        <w:sz w:val="44"/>
        <w:szCs w:val="44"/>
      </w:rPr>
    </w:pPr>
    <w:r>
      <w:rPr>
        <w:b/>
        <w:bCs/>
        <w:sz w:val="30"/>
        <w:szCs w:val="30"/>
      </w:rPr>
      <w:drawing>
        <wp:inline distT="0" distB="0" distL="0" distR="0">
          <wp:extent cx="868680" cy="673100"/>
          <wp:effectExtent l="0" t="0" r="7620" b="127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 w:eastAsiaTheme="minorEastAsia"/>
        <w:bCs/>
        <w:sz w:val="24"/>
        <w:szCs w:val="24"/>
      </w:rPr>
      <w:t xml:space="preserve">Dongguan Great Machine Co.,Ltd.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4A790"/>
    <w:multiLevelType w:val="singleLevel"/>
    <w:tmpl w:val="E7A4A79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2A64D97"/>
    <w:multiLevelType w:val="multilevel"/>
    <w:tmpl w:val="02A64D97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516" w:hanging="516"/>
      </w:pPr>
      <w:rPr>
        <w:rFonts w:hint="default"/>
        <w:color w:val="C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A5AB1B"/>
    <w:multiLevelType w:val="singleLevel"/>
    <w:tmpl w:val="07A5AB1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9FA50B1"/>
    <w:multiLevelType w:val="multilevel"/>
    <w:tmpl w:val="49FA50B1"/>
    <w:lvl w:ilvl="0" w:tentative="0">
      <w:start w:val="2009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  <w:b/>
      </w:rPr>
    </w:lvl>
    <w:lvl w:ilvl="1" w:tentative="0">
      <w:start w:val="769"/>
      <w:numFmt w:val="bullet"/>
      <w:lvlText w:val="☆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  <w:b w:val="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3AF"/>
    <w:rsid w:val="001719EE"/>
    <w:rsid w:val="00172A27"/>
    <w:rsid w:val="00212E53"/>
    <w:rsid w:val="00303148"/>
    <w:rsid w:val="00323B43"/>
    <w:rsid w:val="00342DE8"/>
    <w:rsid w:val="00360F2F"/>
    <w:rsid w:val="003D37D8"/>
    <w:rsid w:val="004243F2"/>
    <w:rsid w:val="00426133"/>
    <w:rsid w:val="004358AB"/>
    <w:rsid w:val="00533146"/>
    <w:rsid w:val="00596FE6"/>
    <w:rsid w:val="00763B86"/>
    <w:rsid w:val="007E226E"/>
    <w:rsid w:val="008211A3"/>
    <w:rsid w:val="008932FD"/>
    <w:rsid w:val="008B7726"/>
    <w:rsid w:val="00A065DE"/>
    <w:rsid w:val="00AA47B0"/>
    <w:rsid w:val="00B453EF"/>
    <w:rsid w:val="00BD4F5D"/>
    <w:rsid w:val="00BD5081"/>
    <w:rsid w:val="00C602FB"/>
    <w:rsid w:val="00CE4C3E"/>
    <w:rsid w:val="00D15B67"/>
    <w:rsid w:val="00D31D50"/>
    <w:rsid w:val="00D4746A"/>
    <w:rsid w:val="00D56ED0"/>
    <w:rsid w:val="00DD62CC"/>
    <w:rsid w:val="00E73EAC"/>
    <w:rsid w:val="00EA57CB"/>
    <w:rsid w:val="00FA13D2"/>
    <w:rsid w:val="00FE1F0D"/>
    <w:rsid w:val="033244F0"/>
    <w:rsid w:val="0502022D"/>
    <w:rsid w:val="050E37DD"/>
    <w:rsid w:val="058B11C2"/>
    <w:rsid w:val="0787761F"/>
    <w:rsid w:val="078877EF"/>
    <w:rsid w:val="08596C8C"/>
    <w:rsid w:val="08801F89"/>
    <w:rsid w:val="0A487DA0"/>
    <w:rsid w:val="0BA72D2E"/>
    <w:rsid w:val="0C207319"/>
    <w:rsid w:val="0CCF4E5D"/>
    <w:rsid w:val="0D83685E"/>
    <w:rsid w:val="0DCD404C"/>
    <w:rsid w:val="0DEB116A"/>
    <w:rsid w:val="0ED074C9"/>
    <w:rsid w:val="10C24C47"/>
    <w:rsid w:val="11AE318C"/>
    <w:rsid w:val="12FD6A21"/>
    <w:rsid w:val="133C3037"/>
    <w:rsid w:val="13CE63AF"/>
    <w:rsid w:val="14F66F28"/>
    <w:rsid w:val="15EB7977"/>
    <w:rsid w:val="18134711"/>
    <w:rsid w:val="198B6EC7"/>
    <w:rsid w:val="1A800373"/>
    <w:rsid w:val="1CE72F0E"/>
    <w:rsid w:val="1D723442"/>
    <w:rsid w:val="1DC23555"/>
    <w:rsid w:val="1E0A56AB"/>
    <w:rsid w:val="1E38172A"/>
    <w:rsid w:val="1EE409EB"/>
    <w:rsid w:val="1F1643AE"/>
    <w:rsid w:val="203F5284"/>
    <w:rsid w:val="22DC6441"/>
    <w:rsid w:val="2300588A"/>
    <w:rsid w:val="247F61C0"/>
    <w:rsid w:val="250639BE"/>
    <w:rsid w:val="25AA0D7C"/>
    <w:rsid w:val="25D14DB3"/>
    <w:rsid w:val="26220DFC"/>
    <w:rsid w:val="26C963FC"/>
    <w:rsid w:val="274656BC"/>
    <w:rsid w:val="27765AF9"/>
    <w:rsid w:val="27D776EC"/>
    <w:rsid w:val="28290320"/>
    <w:rsid w:val="29CD77E8"/>
    <w:rsid w:val="2A30697D"/>
    <w:rsid w:val="2B823B53"/>
    <w:rsid w:val="2CC013E3"/>
    <w:rsid w:val="2DDF0083"/>
    <w:rsid w:val="2E9A690A"/>
    <w:rsid w:val="2F310250"/>
    <w:rsid w:val="301A6CAD"/>
    <w:rsid w:val="30FF3D3D"/>
    <w:rsid w:val="31073C78"/>
    <w:rsid w:val="32191128"/>
    <w:rsid w:val="32F20E7E"/>
    <w:rsid w:val="332F6684"/>
    <w:rsid w:val="34371522"/>
    <w:rsid w:val="37051BE0"/>
    <w:rsid w:val="371C3701"/>
    <w:rsid w:val="37717130"/>
    <w:rsid w:val="379B73CB"/>
    <w:rsid w:val="38A329E7"/>
    <w:rsid w:val="38D57C59"/>
    <w:rsid w:val="39900EA5"/>
    <w:rsid w:val="3B24131A"/>
    <w:rsid w:val="3C4B0A24"/>
    <w:rsid w:val="3C7F4E71"/>
    <w:rsid w:val="3C822643"/>
    <w:rsid w:val="3DB3355B"/>
    <w:rsid w:val="3DE529AC"/>
    <w:rsid w:val="3E3C5D8B"/>
    <w:rsid w:val="3EE01FD4"/>
    <w:rsid w:val="3F082B52"/>
    <w:rsid w:val="3F6D7C7D"/>
    <w:rsid w:val="3F90566B"/>
    <w:rsid w:val="404116CD"/>
    <w:rsid w:val="40C36CE7"/>
    <w:rsid w:val="41565193"/>
    <w:rsid w:val="432C11E9"/>
    <w:rsid w:val="43377881"/>
    <w:rsid w:val="435C42D5"/>
    <w:rsid w:val="43EB666E"/>
    <w:rsid w:val="44204E7A"/>
    <w:rsid w:val="45830616"/>
    <w:rsid w:val="45E82082"/>
    <w:rsid w:val="47AA5CE6"/>
    <w:rsid w:val="48234B44"/>
    <w:rsid w:val="499755BA"/>
    <w:rsid w:val="4B682AC3"/>
    <w:rsid w:val="4BF408A6"/>
    <w:rsid w:val="4C1403F5"/>
    <w:rsid w:val="4C5872D4"/>
    <w:rsid w:val="4CCA31A4"/>
    <w:rsid w:val="4E6F3D37"/>
    <w:rsid w:val="4E8A6A8F"/>
    <w:rsid w:val="5197473C"/>
    <w:rsid w:val="52B64FCE"/>
    <w:rsid w:val="52BE3AB7"/>
    <w:rsid w:val="539C6ACC"/>
    <w:rsid w:val="545274B7"/>
    <w:rsid w:val="550C2110"/>
    <w:rsid w:val="55502DBB"/>
    <w:rsid w:val="567D38EF"/>
    <w:rsid w:val="56E45E99"/>
    <w:rsid w:val="587417B6"/>
    <w:rsid w:val="589A42F2"/>
    <w:rsid w:val="591D508B"/>
    <w:rsid w:val="598D5938"/>
    <w:rsid w:val="59BE19C8"/>
    <w:rsid w:val="5BB2217A"/>
    <w:rsid w:val="5F1A616A"/>
    <w:rsid w:val="61F14332"/>
    <w:rsid w:val="6229697A"/>
    <w:rsid w:val="627F6FAE"/>
    <w:rsid w:val="637E21B5"/>
    <w:rsid w:val="64D1741E"/>
    <w:rsid w:val="66421587"/>
    <w:rsid w:val="67B97655"/>
    <w:rsid w:val="67CF0A19"/>
    <w:rsid w:val="6AC33A83"/>
    <w:rsid w:val="6B9667EC"/>
    <w:rsid w:val="6D5F1E18"/>
    <w:rsid w:val="6E8E7492"/>
    <w:rsid w:val="6FD11F37"/>
    <w:rsid w:val="70327688"/>
    <w:rsid w:val="709E4425"/>
    <w:rsid w:val="70EC0B91"/>
    <w:rsid w:val="72731341"/>
    <w:rsid w:val="72EC721A"/>
    <w:rsid w:val="735C6691"/>
    <w:rsid w:val="74CB3F8C"/>
    <w:rsid w:val="754E47F9"/>
    <w:rsid w:val="757C3645"/>
    <w:rsid w:val="768E37CA"/>
    <w:rsid w:val="773D73BB"/>
    <w:rsid w:val="784B327A"/>
    <w:rsid w:val="78DA1AD2"/>
    <w:rsid w:val="78E314DB"/>
    <w:rsid w:val="79070D02"/>
    <w:rsid w:val="7A11158F"/>
    <w:rsid w:val="7B2D7576"/>
    <w:rsid w:val="7CC35E79"/>
    <w:rsid w:val="7CDF3812"/>
    <w:rsid w:val="7CFC0B86"/>
    <w:rsid w:val="7DF7186B"/>
    <w:rsid w:val="7ECD29D5"/>
    <w:rsid w:val="7F0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contextualSpacing/>
      <w:outlineLvl w:val="0"/>
    </w:pPr>
    <w:rPr>
      <w:b/>
      <w:bCs/>
      <w:color w:val="C00000"/>
      <w:kern w:val="44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outlineLvl w:val="1"/>
    </w:pPr>
    <w:rPr>
      <w:rFonts w:asciiTheme="majorEastAsia" w:hAnsiTheme="majorEastAsia" w:eastAsiaTheme="majorEastAsia" w:cstheme="majorEastAsia"/>
      <w:b/>
      <w:bCs/>
      <w:color w:val="FF0000"/>
      <w:sz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6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8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105</Words>
  <Characters>602</Characters>
  <Lines>5</Lines>
  <Paragraphs>1</Paragraphs>
  <TotalTime>18</TotalTime>
  <ScaleCrop>false</ScaleCrop>
  <LinksUpToDate>false</LinksUpToDate>
  <CharactersWithSpaces>706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2021-09-08T01:53:00Z</dcterms:created>
  <dc:creator>Administrator</dc:creator>
  <cp:lastModifiedBy>PRY-08</cp:lastModifiedBy>
  <cp:lastPrinted>2020-07-06T06:19:00Z</cp:lastPrinted>
  <dcterms:modified xsi:type="dcterms:W3CDTF">2021-09-08T02:09:52Z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1814AF0A06EF4453A2F6D3C17418E2E1</vt:lpwstr>
  </property>
</Properties>
</file>