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6800"/>
        <w:gridCol w:w="3640"/>
        <w:gridCol w:w="1420"/>
      </w:tblGrid>
      <w:tr w:rsidR="00CF654E" w:rsidRPr="00CF654E" w:rsidTr="00CF654E"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54E" w:rsidRPr="00CF654E" w:rsidRDefault="00CF654E" w:rsidP="00CF654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54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54E" w:rsidRPr="00CF654E" w:rsidRDefault="00CF654E" w:rsidP="00CF654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54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SPECIFICATIONS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54E" w:rsidRPr="00CF654E" w:rsidRDefault="00CF654E" w:rsidP="00CF654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54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NORMES ET STANDARDS APPLICABLES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54E" w:rsidRPr="00CF654E" w:rsidRDefault="00CF654E" w:rsidP="00CF654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54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GARANTIES</w:t>
            </w:r>
          </w:p>
        </w:tc>
      </w:tr>
      <w:tr w:rsidR="00CF654E" w:rsidRPr="00CF654E" w:rsidTr="00CF654E"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54E" w:rsidRPr="00CF654E" w:rsidRDefault="00CF654E" w:rsidP="00CF654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54E">
              <w:rPr>
                <w:rFonts w:ascii="宋体" w:eastAsia="宋体" w:hAnsi="宋体" w:cs="宋体"/>
                <w:kern w:val="0"/>
                <w:sz w:val="24"/>
                <w:szCs w:val="24"/>
              </w:rPr>
              <w:t>1. POTEAUX ET SUPPORTS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54E" w:rsidRPr="00CF654E" w:rsidRDefault="00CF654E" w:rsidP="00CF654E">
            <w:pPr>
              <w:widowControl/>
              <w:spacing w:before="100" w:beforeAutospacing="1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5</w:t>
            </w:r>
            <w:proofErr w:type="gram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,5</w:t>
            </w:r>
            <w:proofErr w:type="gram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m minimum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Candélabre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en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acier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galvanisé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ou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aluminium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,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ou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poteaux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en support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béton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.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Prévoir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peinture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de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finition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en thermo-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laquage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polyester pour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candélabre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en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acier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galvanisé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ou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aluminium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54E" w:rsidRPr="00CF654E" w:rsidRDefault="00CF654E" w:rsidP="00CF654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EN 40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>NF ISO 14961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70" w:type="dxa"/>
            </w:tcMar>
            <w:vAlign w:val="bottom"/>
            <w:hideMark/>
          </w:tcPr>
          <w:p w:rsidR="00CF654E" w:rsidRPr="00CF654E" w:rsidRDefault="00CF654E" w:rsidP="00CF654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20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ans</w:t>
            </w:r>
            <w:proofErr w:type="spellEnd"/>
          </w:p>
        </w:tc>
      </w:tr>
      <w:tr w:rsidR="00CF654E" w:rsidRPr="00CF654E" w:rsidTr="00CF654E"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54E" w:rsidRPr="00CF654E" w:rsidRDefault="00CF654E" w:rsidP="00CF654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54E">
              <w:rPr>
                <w:rFonts w:ascii="宋体" w:eastAsia="宋体" w:hAnsi="宋体" w:cs="宋体"/>
                <w:kern w:val="0"/>
                <w:sz w:val="24"/>
                <w:szCs w:val="24"/>
              </w:rPr>
              <w:t>2. LUMINAIRE (LED)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54E" w:rsidRPr="00CF654E" w:rsidRDefault="00CF654E" w:rsidP="00CF654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Durée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de vie utile (au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sens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de la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définition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à la section 3.5.3 ci-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dessus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) :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 xml:space="preserve">_ à 95% : minimum 25 000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heures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;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 xml:space="preserve">_ à 85% : minimum 36 000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heures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;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 xml:space="preserve">_ à 50% : minimum 50 000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heures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;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 xml:space="preserve">　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Facteur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de Maintenance du Flux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Lumineux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: minimum 90% à 50 000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heures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; 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 xml:space="preserve">　 Flux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lumineux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de la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lampe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: minimum 3500 lm ;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 xml:space="preserve">　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Efficacité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lumineuse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de la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lampe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et de son alimentation : minimum 70 lm/W ;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 xml:space="preserve">　 Hauteur de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feu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: minimum 6 m ;            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 xml:space="preserve">　 Surface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éclairée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au sol : minimum 200 m2 ;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 xml:space="preserve">　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Eclairement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moyen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au sol : minimum 15 lx ;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 xml:space="preserve">　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Uniformité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générale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comprise entre 50% et 70% ;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 xml:space="preserve">　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Indice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de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rendu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des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couleurs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(IRC) : minimum 70 ;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 xml:space="preserve">　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Température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de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couleur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: entre 2..700 K (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blanc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chaud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) et 4.000 K (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blanc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neutre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) ;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 xml:space="preserve">　 Luminaire :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fermé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,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dont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le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niveau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d</w:t>
            </w:r>
            <w:proofErr w:type="gram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’</w:t>
            </w:r>
            <w:proofErr w:type="gram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étanchéité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est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au minimum IP65..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 xml:space="preserve">　 Corps :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Compte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tenu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des conditions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tropicales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d'exploitation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,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l'enveloppe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extérieure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est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constituée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de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préférence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de polycarbonate du type 　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macrolon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　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54E" w:rsidRPr="00CF654E" w:rsidRDefault="00CF654E" w:rsidP="00CF654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NF C17-200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>UTE C17-210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>UTE C17-215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>CEI 60969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>EN13201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54E" w:rsidRPr="00CF654E" w:rsidRDefault="00CF654E" w:rsidP="00CF654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Voir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spécifications</w:t>
            </w:r>
            <w:proofErr w:type="spellEnd"/>
          </w:p>
        </w:tc>
      </w:tr>
      <w:tr w:rsidR="00CF654E" w:rsidRPr="00CF654E" w:rsidTr="00CF654E"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54E" w:rsidRPr="00CF654E" w:rsidRDefault="00CF654E" w:rsidP="00CF654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54E">
              <w:rPr>
                <w:rFonts w:ascii="宋体" w:eastAsia="宋体" w:hAnsi="宋体" w:cs="宋体"/>
                <w:kern w:val="0"/>
                <w:sz w:val="24"/>
                <w:szCs w:val="24"/>
              </w:rPr>
              <w:t>3. PANNEAUX PHOTOVOLTAIQUES + SUPPORTS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54E" w:rsidRPr="00CF654E" w:rsidRDefault="00CF654E" w:rsidP="00CF654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Haut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rendement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Degré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de protection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mécanique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IK06 et IP 65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Installé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sur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un support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permettant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d'empecher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le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vol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lastRenderedPageBreak/>
              <w:t xml:space="preserve">Compatible avec tension entrée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batterie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12 V CC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54E" w:rsidRPr="00CF654E" w:rsidRDefault="00CF654E" w:rsidP="00CF654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lastRenderedPageBreak/>
              <w:t>CEI 61215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 xml:space="preserve">CEI 62262 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 xml:space="preserve">CEI 61646 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lastRenderedPageBreak/>
              <w:t xml:space="preserve">CEI 60891 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 xml:space="preserve">CEI 60904 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 xml:space="preserve">CEI 61730 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 xml:space="preserve">CEI 61701 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 xml:space="preserve">CEI 61829 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>DIN 40025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54E" w:rsidRPr="00CF654E" w:rsidRDefault="00CF654E" w:rsidP="00CF654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lastRenderedPageBreak/>
              <w:t xml:space="preserve">10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ans</w:t>
            </w:r>
            <w:proofErr w:type="spellEnd"/>
          </w:p>
        </w:tc>
      </w:tr>
      <w:tr w:rsidR="00CF654E" w:rsidRPr="00CF654E" w:rsidTr="00CF654E"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54E" w:rsidRPr="00CF654E" w:rsidRDefault="00CF654E" w:rsidP="00CF654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54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4. REGULATEUR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54E" w:rsidRPr="00CF654E" w:rsidRDefault="00CF654E" w:rsidP="00CF654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Le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régulateur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aura pour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fonctions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principales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la protection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électrique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des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équipements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, la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maximisation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de la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durée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de vie de la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batterie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et du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rendement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du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système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,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ainsi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que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la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commande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d</w:t>
            </w:r>
            <w:proofErr w:type="gram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’</w:t>
            </w:r>
            <w:proofErr w:type="gram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allumage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et extinction de la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lampe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L</w:t>
            </w:r>
            <w:proofErr w:type="gram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’</w:t>
            </w:r>
            <w:proofErr w:type="gram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allumage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et extinction de la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lampe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devra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être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assuré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de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préférence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par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une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horloge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astronomique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intégrée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dans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le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régulateur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de charge de la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batterie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 xml:space="preserve">Le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régulateur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de charge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offrira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les protections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suivantes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: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 xml:space="preserve">　Protection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contre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les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décharges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profondes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de la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batterie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. La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valeur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maximale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sera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déterminée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 xml:space="preserve">par des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études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à faire par le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Fournisseur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;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 xml:space="preserve">　Protection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contre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une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polarité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inversée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des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panneaux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solaires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;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 xml:space="preserve">　Fusible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électronique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automatique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;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 xml:space="preserve">　Protection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contre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les courts-circuits ;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 xml:space="preserve">　Protection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contre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les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surtensions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sur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l</w:t>
            </w:r>
            <w:proofErr w:type="gram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’</w:t>
            </w:r>
            <w:proofErr w:type="gram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entrée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du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panneau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solaire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;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 xml:space="preserve">　Protection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contre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un circuit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ouvert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sans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batterie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;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 xml:space="preserve">　Protection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contre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un courant inverse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dans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les modules PV ;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 xml:space="preserve">　Protection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contre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les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sur-températures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et les surcharges ;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 xml:space="preserve">　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Déconnexion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en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cas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de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surtension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de la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batterie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;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 xml:space="preserve">　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Couper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l’arrivée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de courant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lorsque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la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batterie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est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complètement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chargée</w:t>
            </w:r>
            <w:proofErr w:type="spellEnd"/>
            <w:proofErr w:type="gram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54E" w:rsidRPr="00CF654E" w:rsidRDefault="00CF654E" w:rsidP="00CF654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CEI 60439 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 xml:space="preserve">NF C58-311 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 xml:space="preserve">CEI 60335-1 &amp; EN50178 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 xml:space="preserve">CEI 60335-2-29 (1994-11) 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 xml:space="preserve">CEI 60695 &amp; EN 60742 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 xml:space="preserve">CEI 60065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54E" w:rsidRPr="00CF654E" w:rsidRDefault="00CF654E" w:rsidP="00CF654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12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ans</w:t>
            </w:r>
            <w:proofErr w:type="spellEnd"/>
          </w:p>
        </w:tc>
      </w:tr>
      <w:tr w:rsidR="00CF654E" w:rsidRPr="00CF654E" w:rsidTr="00CF654E"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54E" w:rsidRPr="00CF654E" w:rsidRDefault="00CF654E" w:rsidP="00CF654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54E">
              <w:rPr>
                <w:rFonts w:ascii="宋体" w:eastAsia="宋体" w:hAnsi="宋体" w:cs="宋体"/>
                <w:kern w:val="0"/>
                <w:sz w:val="24"/>
                <w:szCs w:val="24"/>
              </w:rPr>
              <w:t>5. BATTERIE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54E" w:rsidRPr="00CF654E" w:rsidRDefault="00CF654E" w:rsidP="00CF654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1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seule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batterie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délivrant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une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tension continue de 12 V CC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 xml:space="preserve">de type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plomb-acide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lastRenderedPageBreak/>
              <w:t>L’autonomie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de la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batterie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sera de 10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heures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/jour pendant 3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jours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,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soit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au total 30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heures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de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décharge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à puissance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maximale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>Sans maintenance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54E" w:rsidRPr="00CF654E" w:rsidRDefault="00CF654E" w:rsidP="00CF654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lastRenderedPageBreak/>
              <w:t xml:space="preserve">IEEE 937 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 xml:space="preserve">IEEE 1013 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lastRenderedPageBreak/>
              <w:t xml:space="preserve">IEEE 1361 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 xml:space="preserve">CEI 60896 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 xml:space="preserve">CEI 61427 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>CEI 60130-3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54E" w:rsidRPr="00CF654E" w:rsidRDefault="00CF654E" w:rsidP="00CF654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lastRenderedPageBreak/>
              <w:t xml:space="preserve">6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ans</w:t>
            </w:r>
            <w:proofErr w:type="spellEnd"/>
          </w:p>
        </w:tc>
      </w:tr>
      <w:tr w:rsidR="00CF654E" w:rsidRPr="00CF654E" w:rsidTr="00CF654E"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54E" w:rsidRPr="00CF654E" w:rsidRDefault="00CF654E" w:rsidP="00CF654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54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6. CABLES RACCORDEMENT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54E" w:rsidRPr="00CF654E" w:rsidRDefault="00CF654E" w:rsidP="00CF654E">
            <w:pPr>
              <w:widowControl/>
              <w:spacing w:before="100" w:beforeAutospacing="1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  <w:proofErr w:type="gram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cables</w:t>
            </w:r>
            <w:proofErr w:type="gram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RO2V 2x2,5 mm2  entre les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différents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équipements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électriques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(luminaire à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régulateur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+ modules PV à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régulateur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+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batterie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à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régulateur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). 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 xml:space="preserve">Pour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toute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longueur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de cable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dépassant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4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mètres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, du RO2V 2x4 mm2 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est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obligatoire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;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Gaine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de protection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métallique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de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tous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les cables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installés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à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l’extérieur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du support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jusqu’à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une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hauteur de 2,5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mètres</w:t>
            </w:r>
            <w:proofErr w:type="spellEnd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54E" w:rsidRPr="00CF654E" w:rsidRDefault="00CF654E" w:rsidP="00CF654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NF C15-100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>NF C17-200</w:t>
            </w: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br/>
              <w:t>UTE C17-210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54E" w:rsidRPr="00CF654E" w:rsidRDefault="00CF654E" w:rsidP="00CF654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5 </w:t>
            </w:r>
            <w:proofErr w:type="spellStart"/>
            <w:r w:rsidRPr="00CF654E">
              <w:rPr>
                <w:rFonts w:ascii="宋体" w:eastAsia="宋体" w:hAnsi="宋体" w:cs="宋体"/>
                <w:kern w:val="0"/>
                <w:sz w:val="16"/>
                <w:szCs w:val="16"/>
              </w:rPr>
              <w:t>ans</w:t>
            </w:r>
            <w:proofErr w:type="spellEnd"/>
          </w:p>
        </w:tc>
      </w:tr>
    </w:tbl>
    <w:p w:rsidR="00A1398C" w:rsidRDefault="00A1398C">
      <w:bookmarkStart w:id="0" w:name="_GoBack"/>
      <w:bookmarkEnd w:id="0"/>
    </w:p>
    <w:sectPr w:rsidR="00A1398C" w:rsidSect="00CF65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B3" w:rsidRDefault="009D46B3" w:rsidP="00CF654E">
      <w:r>
        <w:separator/>
      </w:r>
    </w:p>
  </w:endnote>
  <w:endnote w:type="continuationSeparator" w:id="0">
    <w:p w:rsidR="009D46B3" w:rsidRDefault="009D46B3" w:rsidP="00CF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B3" w:rsidRDefault="009D46B3" w:rsidP="00CF654E">
      <w:r>
        <w:separator/>
      </w:r>
    </w:p>
  </w:footnote>
  <w:footnote w:type="continuationSeparator" w:id="0">
    <w:p w:rsidR="009D46B3" w:rsidRDefault="009D46B3" w:rsidP="00CF6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4E"/>
    <w:rsid w:val="009D46B3"/>
    <w:rsid w:val="00A1398C"/>
    <w:rsid w:val="00C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6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65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6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65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6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65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6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65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898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908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3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43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82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8373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45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3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64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18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8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603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56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463270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000000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959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3027</Characters>
  <Application>Microsoft Office Word</Application>
  <DocSecurity>0</DocSecurity>
  <Lines>25</Lines>
  <Paragraphs>7</Paragraphs>
  <ScaleCrop>false</ScaleCrop>
  <Company>微软中国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周林山</dc:creator>
  <cp:keywords/>
  <dc:description/>
  <cp:lastModifiedBy>周林山</cp:lastModifiedBy>
  <cp:revision>1</cp:revision>
  <dcterms:created xsi:type="dcterms:W3CDTF">2013-01-08T01:44:00Z</dcterms:created>
  <dcterms:modified xsi:type="dcterms:W3CDTF">2013-01-08T01:45:00Z</dcterms:modified>
</cp:coreProperties>
</file>