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2" w:rsidRDefault="00256D52" w:rsidP="00256D52">
      <w:pPr>
        <w:ind w:left="284" w:firstLine="425"/>
        <w:jc w:val="both"/>
        <w:rPr>
          <w:rFonts w:ascii="Book Antiqua" w:hAnsi="Book Antiqua" w:cs="Arial"/>
          <w:snapToGrid w:val="0"/>
          <w:sz w:val="20"/>
        </w:rPr>
      </w:pPr>
      <w:r>
        <w:rPr>
          <w:rFonts w:ascii="Book Antiqua" w:hAnsi="Book Antiqua" w:cs="Arial"/>
          <w:snapToGrid w:val="0"/>
          <w:sz w:val="20"/>
        </w:rPr>
        <w:t xml:space="preserve">La </w:t>
      </w:r>
      <w:r w:rsidRPr="00CE3958">
        <w:rPr>
          <w:rFonts w:ascii="Book Antiqua" w:hAnsi="Book Antiqua" w:cs="Arial"/>
          <w:snapToGrid w:val="0"/>
          <w:sz w:val="20"/>
        </w:rPr>
        <w:t>mise en œuvre répondant aux critères de la norme</w:t>
      </w:r>
      <w:r>
        <w:rPr>
          <w:rFonts w:ascii="Book Antiqua" w:hAnsi="Book Antiqua" w:cs="Arial"/>
          <w:snapToGrid w:val="0"/>
          <w:sz w:val="20"/>
        </w:rPr>
        <w:t> :</w:t>
      </w:r>
    </w:p>
    <w:p w:rsidR="00256D52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CE3958">
        <w:rPr>
          <w:rFonts w:ascii="Book Antiqua" w:hAnsi="Book Antiqua" w:cs="Arial"/>
          <w:snapToGrid w:val="0"/>
          <w:sz w:val="20"/>
        </w:rPr>
        <w:t xml:space="preserve"> NF P 90-104 et de la norme XP – P90 – 112.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 w:cs="Arial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Caractéristiques du gazon synthétique</w:t>
      </w:r>
      <w:r w:rsidRPr="00CE3958">
        <w:rPr>
          <w:rFonts w:ascii="Book Antiqua" w:hAnsi="Book Antiqua" w:cs="Arial"/>
          <w:sz w:val="22"/>
          <w:szCs w:val="22"/>
        </w:rPr>
        <w:t>:</w:t>
      </w:r>
    </w:p>
    <w:p w:rsidR="00256D52" w:rsidRPr="00CE3958" w:rsidRDefault="00256D52" w:rsidP="00256D52">
      <w:pPr>
        <w:ind w:left="720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 w:cs="Arial"/>
          <w:sz w:val="22"/>
          <w:szCs w:val="22"/>
        </w:rPr>
        <w:t xml:space="preserve">•  </w:t>
      </w:r>
      <w:r w:rsidRPr="00CE3958">
        <w:rPr>
          <w:rFonts w:ascii="Book Antiqua" w:hAnsi="Book Antiqua"/>
          <w:sz w:val="22"/>
          <w:szCs w:val="22"/>
        </w:rPr>
        <w:t>Gazon synthétique de couleur vert avec remplissage de sable, posé sur couche de souplesse préfabriquée.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•  Fibre droite mono filament,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 xml:space="preserve">•  Hauteur du fil supérieure comprise entre 20 et </w:t>
      </w:r>
      <w:smartTag w:uri="urn:schemas-microsoft-com:office:smarttags" w:element="metricconverter">
        <w:smartTagPr>
          <w:attr w:name="ProductID" w:val="25 mm"/>
        </w:smartTagPr>
        <w:r w:rsidRPr="00CE3958">
          <w:rPr>
            <w:rFonts w:ascii="Book Antiqua" w:hAnsi="Book Antiqua"/>
            <w:sz w:val="22"/>
            <w:szCs w:val="22"/>
          </w:rPr>
          <w:t>25 mm</w:t>
        </w:r>
      </w:smartTag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•  Taux d’usure &lt; à 2 %,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•  Remplissage du gazon en une couche de sable de silice agréé par le fabriquant du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 xml:space="preserve">       gazon à raison de </w:t>
      </w:r>
      <w:smartTag w:uri="urn:schemas-microsoft-com:office:smarttags" w:element="metricconverter">
        <w:smartTagPr>
          <w:attr w:name="ProductID" w:val="15 Kg"/>
        </w:smartTagPr>
        <w:r w:rsidRPr="00CE3958">
          <w:rPr>
            <w:rFonts w:ascii="Book Antiqua" w:hAnsi="Book Antiqua"/>
            <w:sz w:val="22"/>
            <w:szCs w:val="22"/>
          </w:rPr>
          <w:t>15 Kg</w:t>
        </w:r>
      </w:smartTag>
      <w:r w:rsidRPr="00CE3958">
        <w:rPr>
          <w:rFonts w:ascii="Book Antiqua" w:hAnsi="Book Antiqua"/>
          <w:sz w:val="22"/>
          <w:szCs w:val="22"/>
        </w:rPr>
        <w:t xml:space="preserve"> au m2  granulométrie : 0,6 </w:t>
      </w:r>
      <w:proofErr w:type="gramStart"/>
      <w:r w:rsidRPr="00CE3958">
        <w:rPr>
          <w:rFonts w:ascii="Book Antiqua" w:hAnsi="Book Antiqua"/>
          <w:sz w:val="22"/>
          <w:szCs w:val="22"/>
        </w:rPr>
        <w:t>;1,6</w:t>
      </w:r>
      <w:proofErr w:type="gramEnd"/>
      <w:r w:rsidRPr="00CE3958">
        <w:rPr>
          <w:rFonts w:ascii="Book Antiqua" w:hAnsi="Book Antiqua"/>
          <w:sz w:val="22"/>
          <w:szCs w:val="22"/>
        </w:rPr>
        <w:t xml:space="preserve"> et de 25 kg au m² pour les terrains omnisport.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-42 000 brins au M2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-plus de 200 tufs au ML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-ancrage des brins supérieurs à 30 Newton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>-Résistance à la rupture en largeur </w:t>
      </w:r>
      <w:proofErr w:type="gramStart"/>
      <w:r w:rsidRPr="00CE3958">
        <w:rPr>
          <w:rFonts w:ascii="Book Antiqua" w:hAnsi="Book Antiqua"/>
          <w:sz w:val="22"/>
          <w:szCs w:val="22"/>
        </w:rPr>
        <w:t>:700</w:t>
      </w:r>
      <w:proofErr w:type="gramEnd"/>
      <w:r w:rsidRPr="00CE3958">
        <w:rPr>
          <w:rFonts w:ascii="Book Antiqua" w:hAnsi="Book Antiqua"/>
          <w:sz w:val="22"/>
          <w:szCs w:val="22"/>
        </w:rPr>
        <w:t xml:space="preserve"> N</w:t>
      </w:r>
    </w:p>
    <w:p w:rsidR="00256D52" w:rsidRPr="00CE3958" w:rsidRDefault="00256D52" w:rsidP="00256D52">
      <w:pPr>
        <w:ind w:left="284" w:firstLine="425"/>
        <w:jc w:val="both"/>
        <w:rPr>
          <w:rFonts w:ascii="Book Antiqua" w:hAnsi="Book Antiqua"/>
          <w:sz w:val="22"/>
          <w:szCs w:val="22"/>
        </w:rPr>
      </w:pPr>
      <w:r w:rsidRPr="00CE3958">
        <w:rPr>
          <w:rFonts w:ascii="Book Antiqua" w:hAnsi="Book Antiqua"/>
          <w:sz w:val="22"/>
          <w:szCs w:val="22"/>
        </w:rPr>
        <w:t xml:space="preserve">                                       en longueur </w:t>
      </w:r>
      <w:proofErr w:type="gramStart"/>
      <w:r w:rsidRPr="00CE3958">
        <w:rPr>
          <w:rFonts w:ascii="Book Antiqua" w:hAnsi="Book Antiqua"/>
          <w:sz w:val="22"/>
          <w:szCs w:val="22"/>
        </w:rPr>
        <w:t>:1000N</w:t>
      </w:r>
      <w:proofErr w:type="gramEnd"/>
    </w:p>
    <w:p w:rsidR="00AE215A" w:rsidRDefault="00AE215A"/>
    <w:sectPr w:rsidR="00AE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2"/>
    <w:rsid w:val="00256D52"/>
    <w:rsid w:val="00A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BISSI</dc:creator>
  <cp:lastModifiedBy>BISSI</cp:lastModifiedBy>
  <cp:revision>1</cp:revision>
  <dcterms:created xsi:type="dcterms:W3CDTF">2013-02-28T09:37:00Z</dcterms:created>
  <dcterms:modified xsi:type="dcterms:W3CDTF">2013-02-28T09:39:00Z</dcterms:modified>
</cp:coreProperties>
</file>