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97615" w:rsidRPr="00197615" w:rsidTr="0019761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5"/>
              <w:gridCol w:w="831"/>
            </w:tblGrid>
            <w:tr w:rsidR="00197615" w:rsidRPr="00197615">
              <w:trPr>
                <w:tblCellSpacing w:w="0" w:type="dxa"/>
              </w:trPr>
              <w:tc>
                <w:tcPr>
                  <w:tcW w:w="4500" w:type="pct"/>
                  <w:tcMar>
                    <w:top w:w="30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197615" w:rsidRPr="00197615" w:rsidRDefault="00197615" w:rsidP="00197615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黑体" w:eastAsia="黑体" w:hAnsi="黑体" w:cs="Arial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197615" w:rsidRPr="00197615" w:rsidRDefault="00197615" w:rsidP="00197615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97615" w:rsidRPr="00197615" w:rsidRDefault="00197615" w:rsidP="00197615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197615" w:rsidRPr="00197615" w:rsidTr="00197615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56"/>
            </w:tblGrid>
            <w:tr w:rsidR="00197615" w:rsidRPr="00197615">
              <w:trPr>
                <w:trHeight w:val="42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197615" w:rsidRDefault="00197615" w:rsidP="007513ED">
                  <w:pPr>
                    <w:widowControl/>
                    <w:spacing w:line="360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8"/>
                      <w:szCs w:val="18"/>
                    </w:rPr>
                    <w:t>SINOMACH products highlight at 13</w:t>
                  </w:r>
                  <w:r w:rsidRPr="00197615">
                    <w:rPr>
                      <w:rFonts w:ascii="Arial" w:eastAsia="宋体" w:hAnsi="Arial" w:cs="Arial" w:hint="eastAsia"/>
                      <w:kern w:val="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eastAsia="宋体" w:hAnsi="Arial" w:cs="Arial" w:hint="eastAsia"/>
                      <w:kern w:val="0"/>
                      <w:sz w:val="18"/>
                      <w:szCs w:val="18"/>
                    </w:rPr>
                    <w:t xml:space="preserve"> international show of construction equipments and technologies</w:t>
                  </w:r>
                </w:p>
                <w:p w:rsidR="00AE4112" w:rsidRPr="00197615" w:rsidRDefault="006954A7" w:rsidP="007513ED">
                  <w:pPr>
                    <w:widowControl/>
                    <w:spacing w:line="360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4924425" cy="2857499"/>
                        <wp:effectExtent l="19050" t="0" r="0" b="0"/>
                        <wp:docPr id="1" name="图片 0" descr="fileUploa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eUpload[1]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0095" cy="28549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15" w:rsidRPr="00197615" w:rsidRDefault="00197615" w:rsidP="00197615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197615" w:rsidRDefault="00197615" w:rsidP="00197615">
      <w:r>
        <w:t>Fro</w:t>
      </w:r>
      <w:r w:rsidR="00FF7199">
        <w:t xml:space="preserve">m 29th of May to 2nd of June, </w:t>
      </w:r>
      <w:r>
        <w:rPr>
          <w:rFonts w:hint="eastAsia"/>
        </w:rPr>
        <w:t>Executive deputy General Manager Mr Wang Weiyan le</w:t>
      </w:r>
      <w:r w:rsidR="00FF7199">
        <w:rPr>
          <w:rFonts w:hint="eastAsia"/>
        </w:rPr>
        <w:t>a</w:t>
      </w:r>
      <w:r>
        <w:rPr>
          <w:rFonts w:hint="eastAsia"/>
        </w:rPr>
        <w:t>d</w:t>
      </w:r>
      <w:r w:rsidR="00FF7199">
        <w:rPr>
          <w:rFonts w:hint="eastAsia"/>
        </w:rPr>
        <w:t>s</w:t>
      </w:r>
      <w:r>
        <w:rPr>
          <w:rFonts w:hint="eastAsia"/>
        </w:rPr>
        <w:t xml:space="preserve"> a team to </w:t>
      </w:r>
      <w:r>
        <w:t>participate</w:t>
      </w:r>
      <w:r w:rsidR="00FF7199">
        <w:rPr>
          <w:rFonts w:hint="eastAsia"/>
        </w:rPr>
        <w:t xml:space="preserve"> in the </w:t>
      </w:r>
      <w:r>
        <w:t>13th international show of construction equipments and technologies</w:t>
      </w:r>
      <w:r w:rsidR="00FF7199">
        <w:rPr>
          <w:rFonts w:hint="eastAsia"/>
        </w:rPr>
        <w:t xml:space="preserve">(CTT2012) which is held in Moscow. China SINOMACH Heavy Industry Corporation shows its Loader, roller and excavator </w:t>
      </w:r>
      <w:r w:rsidR="00FF7199">
        <w:t>in the</w:t>
      </w:r>
      <w:r w:rsidR="003D450E">
        <w:rPr>
          <w:rFonts w:hint="eastAsia"/>
        </w:rPr>
        <w:t xml:space="preserve"> brand of SINOMACH, meanwhile</w:t>
      </w:r>
      <w:r w:rsidR="00FF7199">
        <w:rPr>
          <w:rFonts w:hint="eastAsia"/>
        </w:rPr>
        <w:t>, it is first time to show in overseas market for SINOMACH products.</w:t>
      </w:r>
    </w:p>
    <w:p w:rsidR="00FF7199" w:rsidRDefault="00FF7199" w:rsidP="00197615"/>
    <w:p w:rsidR="00FF7199" w:rsidRDefault="00FF7199" w:rsidP="00197615">
      <w:r>
        <w:rPr>
          <w:rFonts w:hint="eastAsia"/>
        </w:rPr>
        <w:t xml:space="preserve">This exhibition is significant for SINOMACH brand </w:t>
      </w:r>
      <w:r>
        <w:t>propaganda</w:t>
      </w:r>
      <w:r>
        <w:rPr>
          <w:rFonts w:hint="eastAsia"/>
        </w:rPr>
        <w:t xml:space="preserve">, as well it is foundation of entering into Russian federation market. During the exhibition, customers from </w:t>
      </w:r>
      <w:r w:rsidR="003D450E">
        <w:rPr>
          <w:rFonts w:hint="eastAsia"/>
        </w:rPr>
        <w:t>the Republic of Belarus, Ukraine, Estonia and Russia etc are interested in SINOMACH products, what is more, they negotiate with sales representatives in detail for the business.</w:t>
      </w:r>
    </w:p>
    <w:p w:rsidR="007513ED" w:rsidRDefault="007513ED" w:rsidP="00197615"/>
    <w:p w:rsidR="003D450E" w:rsidRDefault="003D450E" w:rsidP="00197615">
      <w:r>
        <w:rPr>
          <w:rFonts w:hint="eastAsia"/>
        </w:rPr>
        <w:t xml:space="preserve">At present, the scale of overseas machineries and equipments which Russia imported is taking 30% of the imported total amount in Russia, it is offering huge opportunities for Chinese construction machinery manufacturing industry. CTT has been become biggest </w:t>
      </w:r>
      <w:r w:rsidR="007513ED">
        <w:rPr>
          <w:rFonts w:hint="eastAsia"/>
        </w:rPr>
        <w:t>Exhibition of construction and engineering machinery in the region of East European, Central Asia and Russia Federation.</w:t>
      </w:r>
    </w:p>
    <w:p w:rsidR="007513ED" w:rsidRDefault="007513ED" w:rsidP="00197615"/>
    <w:p w:rsidR="007513ED" w:rsidRDefault="007513ED" w:rsidP="007513ED">
      <w:r>
        <w:rPr>
          <w:rFonts w:hint="eastAsia"/>
        </w:rPr>
        <w:t>During the period of visiting Russia, Executive deputy General Manager Mr Wang Weiyan paid a visit for the Russian market, and what is more,</w:t>
      </w:r>
      <w:r w:rsidR="001A7CA3">
        <w:rPr>
          <w:rFonts w:hint="eastAsia"/>
        </w:rPr>
        <w:t xml:space="preserve"> he has</w:t>
      </w:r>
      <w:r>
        <w:rPr>
          <w:rFonts w:hint="eastAsia"/>
        </w:rPr>
        <w:t xml:space="preserve"> inspected the partner who have cooperation intention and have larger strength in the locality.</w:t>
      </w:r>
    </w:p>
    <w:p w:rsidR="007513ED" w:rsidRPr="007513ED" w:rsidRDefault="007513ED" w:rsidP="00197615"/>
    <w:p w:rsidR="00197615" w:rsidRPr="00197615" w:rsidRDefault="00197615"/>
    <w:sectPr w:rsidR="00197615" w:rsidRPr="00197615" w:rsidSect="00AC4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69" w:rsidRDefault="002D7669" w:rsidP="00197615">
      <w:r>
        <w:separator/>
      </w:r>
    </w:p>
  </w:endnote>
  <w:endnote w:type="continuationSeparator" w:id="1">
    <w:p w:rsidR="002D7669" w:rsidRDefault="002D7669" w:rsidP="0019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69" w:rsidRDefault="002D7669" w:rsidP="00197615">
      <w:r>
        <w:separator/>
      </w:r>
    </w:p>
  </w:footnote>
  <w:footnote w:type="continuationSeparator" w:id="1">
    <w:p w:rsidR="002D7669" w:rsidRDefault="002D7669" w:rsidP="00197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615"/>
    <w:rsid w:val="00197615"/>
    <w:rsid w:val="001A7CA3"/>
    <w:rsid w:val="002D7669"/>
    <w:rsid w:val="003D450E"/>
    <w:rsid w:val="006954A7"/>
    <w:rsid w:val="007513ED"/>
    <w:rsid w:val="00AC45BB"/>
    <w:rsid w:val="00AE4112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6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76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7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1265</Characters>
  <Application>Microsoft Office Word</Application>
  <DocSecurity>0</DocSecurity>
  <Lines>10</Lines>
  <Paragraphs>2</Paragraphs>
  <ScaleCrop>false</ScaleCrop>
  <Company>China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蔡杰丹</dc:creator>
  <cp:keywords/>
  <dc:description/>
  <cp:lastModifiedBy>蔡杰丹</cp:lastModifiedBy>
  <cp:revision>5</cp:revision>
  <dcterms:created xsi:type="dcterms:W3CDTF">2012-06-13T05:25:00Z</dcterms:created>
  <dcterms:modified xsi:type="dcterms:W3CDTF">2012-06-13T06:12:00Z</dcterms:modified>
</cp:coreProperties>
</file>